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207" w:rsidRDefault="00587207">
      <w:pPr>
        <w:spacing w:before="120" w:after="120" w:line="300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</w:p>
    <w:p w:rsidR="00174607" w:rsidRPr="005C50D9" w:rsidRDefault="002077C7" w:rsidP="00174607">
      <w:pPr>
        <w:spacing w:before="120" w:after="120"/>
        <w:jc w:val="right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174607">
        <w:rPr>
          <w:rFonts w:ascii="Arial" w:eastAsia="Arial" w:hAnsi="Arial" w:cs="Arial"/>
          <w:b/>
          <w:bCs/>
          <w:sz w:val="24"/>
          <w:szCs w:val="24"/>
        </w:rPr>
        <w:tab/>
      </w:r>
      <w:r w:rsidR="00174607">
        <w:rPr>
          <w:rFonts w:ascii="Arial" w:eastAsia="Arial" w:hAnsi="Arial" w:cs="Arial"/>
          <w:b/>
          <w:bCs/>
          <w:sz w:val="24"/>
          <w:szCs w:val="24"/>
        </w:rPr>
        <w:tab/>
      </w:r>
      <w:r w:rsidR="00174607" w:rsidRPr="005C50D9">
        <w:rPr>
          <w:rFonts w:ascii="Arial" w:hAnsi="Arial" w:cs="Arial"/>
          <w:sz w:val="20"/>
          <w:szCs w:val="20"/>
        </w:rPr>
        <w:t xml:space="preserve">Załącznik nr 1 do </w:t>
      </w:r>
      <w:r w:rsidR="00174607" w:rsidRPr="005C50D9">
        <w:rPr>
          <w:rFonts w:ascii="Arial" w:hAnsi="Arial" w:cs="Arial"/>
          <w:i/>
          <w:sz w:val="20"/>
          <w:szCs w:val="20"/>
        </w:rPr>
        <w:t>Szacowania wartości zamówienia</w:t>
      </w:r>
    </w:p>
    <w:p w:rsidR="00587207" w:rsidRDefault="00587207" w:rsidP="00174607">
      <w:pPr>
        <w:spacing w:before="120" w:after="120" w:line="300" w:lineRule="auto"/>
        <w:jc w:val="right"/>
        <w:rPr>
          <w:rFonts w:ascii="Arial" w:eastAsia="Arial" w:hAnsi="Arial" w:cs="Arial"/>
          <w:sz w:val="24"/>
          <w:szCs w:val="24"/>
        </w:rPr>
      </w:pPr>
    </w:p>
    <w:p w:rsidR="00587207" w:rsidRDefault="00587207">
      <w:pPr>
        <w:spacing w:before="120" w:after="120" w:line="300" w:lineRule="auto"/>
        <w:jc w:val="center"/>
        <w:rPr>
          <w:b/>
          <w:bCs/>
        </w:rPr>
      </w:pPr>
    </w:p>
    <w:p w:rsidR="00587207" w:rsidRDefault="002077C7">
      <w:pPr>
        <w:spacing w:before="120" w:line="300" w:lineRule="auto"/>
        <w:jc w:val="center"/>
        <w:rPr>
          <w:b/>
          <w:bCs/>
        </w:rPr>
      </w:pPr>
      <w:r>
        <w:rPr>
          <w:b/>
          <w:bCs/>
        </w:rPr>
        <w:t>SZCZEGÓŁOWY OPIS PRZEDMIOTU ZAMÓWIENIA</w:t>
      </w:r>
    </w:p>
    <w:p w:rsidR="00587207" w:rsidRDefault="00587207">
      <w:pPr>
        <w:spacing w:before="0" w:after="120" w:line="300" w:lineRule="auto"/>
      </w:pPr>
    </w:p>
    <w:p w:rsidR="00587207" w:rsidRDefault="002077C7">
      <w:pPr>
        <w:spacing w:before="120" w:after="360" w:line="300" w:lineRule="auto"/>
      </w:pPr>
      <w:r>
        <w:t>Przedmiotem zamówienia jest 600 komputerów przenośnych i 25 monitorów spełniających wskazane poniżej wymagania (minimalne parametry techniczne). Przedmiotowy sprzęt jest przeznaczony dla 25 szkół ponadpodstawowych na terenie Polski, które zostaną wybrane w konkursie na udział w pilotażowym wdrażaniu modułowych e-podręczników, rozstrzygniętym przez Zamawiającego w II kwartale 2026 r. (po 24 komputery przenośne i 1 monitor dla 1 szkoły). Adresy dostawy zostaną wskazane przez Zamawiającego na etapie podpisywania umowy.</w:t>
      </w:r>
    </w:p>
    <w:tbl>
      <w:tblPr>
        <w:tblStyle w:val="a1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1624"/>
      </w:tblGrid>
      <w:tr w:rsidR="00587207">
        <w:tc>
          <w:tcPr>
            <w:tcW w:w="14459" w:type="dxa"/>
            <w:gridSpan w:val="2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Komputery przenośne</w:t>
            </w:r>
          </w:p>
        </w:tc>
      </w:tr>
      <w:tr w:rsidR="00587207">
        <w:tc>
          <w:tcPr>
            <w:tcW w:w="2835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bookmarkStart w:id="0" w:name="_heading=h.zhx28wiidy9v" w:colFirst="0" w:colLast="0"/>
            <w:bookmarkEnd w:id="0"/>
            <w:r>
              <w:rPr>
                <w:b/>
                <w:bCs/>
              </w:rPr>
              <w:t>Nazwa elementu</w:t>
            </w:r>
          </w:p>
        </w:tc>
        <w:tc>
          <w:tcPr>
            <w:tcW w:w="11624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Minimalne parametry techniczne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Wydajność obliczeniowa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Procesor wielordzeniowy, zgodny z architekturą x86, możliwość uruchamiania aplikacji 64 bitowych, sprzętowe wsparcie dla wirtualizacji, zaprojektowany do pracy w komputerach przenośnych, o średniej wydajności ocenianej na co najmniej 1</w:t>
            </w:r>
            <w:r>
              <w:t>4</w:t>
            </w:r>
            <w:r>
              <w:rPr>
                <w:color w:val="000000"/>
              </w:rPr>
              <w:t xml:space="preserve"> 000 pkt.</w:t>
            </w:r>
            <w:r>
              <w:t xml:space="preserve"> </w:t>
            </w:r>
            <w:r>
              <w:rPr>
                <w:color w:val="000000"/>
              </w:rPr>
              <w:t xml:space="preserve">w teście PassMark CPU Mark (według wyników opublikowanych na stronie </w:t>
            </w:r>
            <w:hyperlink r:id="rId9">
              <w:r>
                <w:rPr>
                  <w:color w:val="000000"/>
                  <w:u w:val="single"/>
                </w:rPr>
                <w:t>https://www.cpubenchmark.net/cpu_list.php</w:t>
              </w:r>
            </w:hyperlink>
            <w:r>
              <w:rPr>
                <w:color w:val="000000"/>
              </w:rPr>
              <w:t>, na dzień składania oferty</w:t>
            </w:r>
            <w:r w:rsidR="004D1E73">
              <w:t>).</w:t>
            </w:r>
          </w:p>
          <w:p w:rsidR="00587207" w:rsidRDefault="002077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Wszystkie oferowane komponenty wchodzące w skład komputera będą ze sobą kompatybilne i nie będą obniżać jego wydajności. Zamawiający nie dopuszcza sprzętu, w którym zaoferowane komponenty komputera będą pracowały na niższych parametrach niż opisywane w SOPZ.</w:t>
            </w:r>
          </w:p>
        </w:tc>
      </w:tr>
      <w:tr w:rsidR="00587207" w:rsidTr="00DE21A9">
        <w:trPr>
          <w:trHeight w:val="606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Pamięć operacyjna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Co najmniej 16 GB RAM DDR </w:t>
            </w:r>
            <w:r>
              <w:t>4 lub nowsza</w:t>
            </w:r>
            <w:r w:rsidR="004D1E73">
              <w:t>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Karta graficzna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Zintegrowana, z możliwością dynamicznego przydzielenia pamięci w obrębie pamięci systemowej.</w:t>
            </w:r>
          </w:p>
          <w:p w:rsidR="00587207" w:rsidRDefault="002077C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Obsługiwana przez DirectX w wersji co najmniej 12 i OpenGL w wersji co najmniej 4.</w:t>
            </w:r>
          </w:p>
        </w:tc>
      </w:tr>
      <w:tr w:rsidR="00587207" w:rsidTr="004D1E73">
        <w:trPr>
          <w:trHeight w:val="836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lastRenderedPageBreak/>
              <w:t>Wyświetlacz</w:t>
            </w:r>
          </w:p>
        </w:tc>
        <w:tc>
          <w:tcPr>
            <w:tcW w:w="11624" w:type="dxa"/>
            <w:shd w:val="clear" w:color="auto" w:fill="FFFFFF"/>
            <w:vAlign w:val="center"/>
          </w:tcPr>
          <w:p w:rsidR="00587207" w:rsidRDefault="002077C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Wielkość w zakresie 14” </w:t>
            </w:r>
            <w:r w:rsidR="004D1E73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15,6”</w:t>
            </w:r>
            <w:r w:rsidR="004D1E73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Rozdzielczość nominalna 1920 x 1080 pikseli</w:t>
            </w:r>
            <w:r w:rsidR="004D1E73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Jasność co najmniej 250 cd/m2</w:t>
            </w:r>
            <w:r w:rsidR="004D1E73">
              <w:rPr>
                <w:color w:val="000000"/>
              </w:rPr>
              <w:t>.</w:t>
            </w:r>
          </w:p>
        </w:tc>
      </w:tr>
      <w:tr w:rsidR="00587207" w:rsidTr="004D1E73">
        <w:trPr>
          <w:trHeight w:val="679"/>
        </w:trPr>
        <w:tc>
          <w:tcPr>
            <w:tcW w:w="2835" w:type="dxa"/>
            <w:vAlign w:val="center"/>
          </w:tcPr>
          <w:p w:rsidR="00587207" w:rsidRDefault="002077C7" w:rsidP="0095499B">
            <w:pPr>
              <w:spacing w:before="0" w:line="240" w:lineRule="auto"/>
            </w:pPr>
            <w:r>
              <w:t xml:space="preserve">Dysk </w:t>
            </w:r>
            <w:r w:rsidR="0095499B">
              <w:t>t</w:t>
            </w:r>
            <w:r>
              <w:t>wardy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SSD o pojemności co najmniej 512 GB</w:t>
            </w:r>
            <w:r w:rsidR="004D1E73">
              <w:rPr>
                <w:color w:val="000000"/>
              </w:rPr>
              <w:t>.</w:t>
            </w:r>
          </w:p>
          <w:p w:rsidR="00587207" w:rsidRPr="00DE21A9" w:rsidRDefault="002077C7" w:rsidP="00DE21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t>M</w:t>
            </w:r>
            <w:r>
              <w:rPr>
                <w:color w:val="000000"/>
              </w:rPr>
              <w:t>agistrala PCIe 3.0 x4 lub nowsza</w:t>
            </w:r>
            <w:r w:rsidR="004D1E73">
              <w:rPr>
                <w:color w:val="000000"/>
              </w:rPr>
              <w:t>.</w:t>
            </w:r>
          </w:p>
        </w:tc>
      </w:tr>
      <w:tr w:rsidR="00587207" w:rsidTr="004D1E73">
        <w:trPr>
          <w:trHeight w:val="2985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Wyposażenie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Karta dźwiękowa zintegrowana z płytą główną.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2 zintegrowane mikrofony, kamera HD o rozdzielczości co najmniej 720p, głośniki stereofoniczne zintegrowane w obudowie.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Zintegrowana w obudowie karta WiFi pracująca w standardzie IEEE 802.11ax (WiFi 6) lub nowszym, obsługująca pasma 2,4 GHz i 5 GHz, z pełną kompatybilnością wsteczną z 802.11 a/b/g/n/ac</w:t>
            </w:r>
            <w:r w:rsidR="004D1E73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Co najmniej 2 porty USB, w tym co najmniej jeden port USB-C (w standardzie USB 3.2</w:t>
            </w:r>
            <w:r>
              <w:t xml:space="preserve"> lub wyższym</w:t>
            </w:r>
            <w:r>
              <w:rPr>
                <w:color w:val="000000"/>
              </w:rPr>
              <w:t>), obsługujący transmisję danych, funkcję DisplayPort Alt Mode oraz Power Delivery (ładowanie). Nie wymaga się obsługi Thunderbolt.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Zintegrowany Bluetooth min. 5.2.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t>C</w:t>
            </w:r>
            <w:r>
              <w:rPr>
                <w:color w:val="000000"/>
              </w:rPr>
              <w:t>ombo audio Jack 3.5 mm</w:t>
            </w:r>
            <w:r w:rsidR="004D1E73">
              <w:rPr>
                <w:color w:val="000000"/>
              </w:rPr>
              <w:t>.</w:t>
            </w:r>
          </w:p>
        </w:tc>
      </w:tr>
      <w:tr w:rsidR="00587207" w:rsidTr="004D1E73">
        <w:trPr>
          <w:trHeight w:val="3934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Wymagania dodatkowe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BIOS typu FLASH EPROM posiadający procedury oszczędzania energii i zapewniający mechanizm plug&amp;play producenta sprzętu.</w:t>
            </w:r>
          </w:p>
          <w:p w:rsidR="00587207" w:rsidRDefault="002077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BIOS zawierający niezamazywalną informację o producencie, modelu i numerze seryjnym komputera.</w:t>
            </w:r>
          </w:p>
          <w:p w:rsidR="00587207" w:rsidRDefault="002077C7" w:rsidP="004D1E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>BIOS umożliwiający realizację poniższych funkcji bez konieczności uruchamiania systemu operacyjnego z dysku twardego komputera lu</w:t>
            </w:r>
            <w:r w:rsidR="004D1E73">
              <w:rPr>
                <w:color w:val="000000"/>
              </w:rPr>
              <w:t>b innych, podłączonych do niego</w:t>
            </w:r>
            <w:r>
              <w:rPr>
                <w:color w:val="000000"/>
              </w:rPr>
              <w:t xml:space="preserve"> urządzeń zewnętrznych (dopuszcza się oprogramowanie uruchamiane z BIOS, które fizycznie znajduje się na ukrytej partycji dysku twardego SSD tj. pamięci flash współdzielonej):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2077C7">
              <w:rPr>
                <w:color w:val="000000"/>
              </w:rPr>
              <w:t>ontrola sekwencji BOOT-owania,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="002077C7">
              <w:rPr>
                <w:color w:val="000000"/>
              </w:rPr>
              <w:t>tart systemu z urządzenia USB,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b</w:t>
            </w:r>
            <w:r w:rsidR="002077C7">
              <w:rPr>
                <w:color w:val="000000"/>
              </w:rPr>
              <w:t>lokowanie/odblokowanie BOOT-owania laptopa z dysku twardego, zewnętrznych urządzeń oraz sieci,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="002077C7">
              <w:rPr>
                <w:color w:val="000000"/>
              </w:rPr>
              <w:t>stawienia hasła na poziomie administratora,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2077C7">
              <w:rPr>
                <w:color w:val="000000"/>
              </w:rPr>
              <w:t>yłączenie/włączenie: zintegrowa</w:t>
            </w:r>
            <w:r>
              <w:rPr>
                <w:color w:val="000000"/>
              </w:rPr>
              <w:t>nej karty sieciowej, portów USB.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lastRenderedPageBreak/>
              <w:t>Zabezpieczenia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Zintegrowany układ szyfrujący Trusted Platrofm Module w wersji 2.0 lub nowszej.</w:t>
            </w:r>
          </w:p>
          <w:p w:rsidR="00587207" w:rsidRDefault="002077C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Obudowa musi umożliwiać zastosowanie zabezpieczenia fizycznego w postaci linki metalowej (złącze blokady Kensington lock/Nobel Lock/Nano lock).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Zasilanie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Akumulatorowe (Li-Ion lub Li-Po).</w:t>
            </w:r>
          </w:p>
          <w:p w:rsidR="00587207" w:rsidRDefault="00207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Bateria pozwalająca na min.</w:t>
            </w:r>
            <w:r w:rsidR="00D97FEF">
              <w:rPr>
                <w:color w:val="000000"/>
              </w:rPr>
              <w:t xml:space="preserve"> </w:t>
            </w:r>
            <w:r w:rsidR="00363ED6">
              <w:rPr>
                <w:color w:val="000000"/>
              </w:rPr>
              <w:t>7</w:t>
            </w:r>
            <w:bookmarkStart w:id="1" w:name="_GoBack"/>
            <w:bookmarkEnd w:id="1"/>
            <w:r>
              <w:rPr>
                <w:color w:val="00B050"/>
              </w:rPr>
              <w:t xml:space="preserve"> </w:t>
            </w:r>
            <w:r>
              <w:rPr>
                <w:color w:val="000000"/>
              </w:rPr>
              <w:t>h pracy bez ładowania. Potwierdzone przez producenta w specyfikacji lub testem na stronie www.bapco.com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Zasilacz z możliwością szybkiego ładowania baterii.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Klawiatura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Zintegrowana klawiatura z klawiszami funkcyjnymi, odporna na zachlapanie, z płytką dotykową oraz obsługą gestów.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Mysz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Dołączona do zestawu mysz optyczna USB 1000 dpi.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Waga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Nie więcej niż </w:t>
            </w:r>
            <w:r>
              <w:t>2</w:t>
            </w:r>
            <w:r>
              <w:rPr>
                <w:color w:val="000000"/>
              </w:rPr>
              <w:t xml:space="preserve"> kg z baterią. 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System operacyjny</w:t>
            </w:r>
          </w:p>
        </w:tc>
        <w:tc>
          <w:tcPr>
            <w:tcW w:w="11624" w:type="dxa"/>
            <w:vAlign w:val="center"/>
          </w:tcPr>
          <w:p w:rsidR="00587207" w:rsidRDefault="002077C7" w:rsidP="009549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Zainstalowana pełna, nieograniczona czasowo oraz legalna wersja systemu operacyjnego Microsoft Windows 11 </w:t>
            </w:r>
            <w:r>
              <w:t>lub nowszy</w:t>
            </w:r>
            <w:r>
              <w:rPr>
                <w:color w:val="000000"/>
              </w:rPr>
              <w:t xml:space="preserve"> 64-bit, w wersji polskiej z licencją lub produkt równoważny o cechach równoważności określonych w niniejszym dokumencie*. System musi być nowy (nie aktywowany wcześniej na innym urządzeniu) zainstalowany fabrycznie na dostarczonym komputerze przez producenta sprzętu. Nie dopuszcza się w tym zakresie licencji pochodzących z rynku wtórnego.</w:t>
            </w:r>
          </w:p>
          <w:p w:rsidR="00587207" w:rsidRDefault="002077C7" w:rsidP="009549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Załączone </w:t>
            </w:r>
            <w:r w:rsidR="00D97FEF">
              <w:rPr>
                <w:color w:val="000000"/>
              </w:rPr>
              <w:t xml:space="preserve">do oferty </w:t>
            </w:r>
            <w:r>
              <w:rPr>
                <w:color w:val="000000"/>
              </w:rPr>
              <w:t>potwierdzenie wykonawcy / producenta komputera o legalności dostarczonego oprogramowania.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t>Wsparcie techniczne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Dostęp do aktualnych sterowników zainstalowanych w komputerze urządzeń, realizowany poprzez podanie identyfikatora klienta lub modelu komputera lub numeru seryjnego komputera, na dedykowanej przez producenta stronie internetowej – Wykonawca poda adres strony oraz sposób realizacji wymagania (opis </w:t>
            </w:r>
            <w:r w:rsidR="00D97FEF">
              <w:rPr>
                <w:color w:val="000000"/>
              </w:rPr>
              <w:t xml:space="preserve">sposobu </w:t>
            </w:r>
            <w:r>
              <w:rPr>
                <w:color w:val="000000"/>
              </w:rPr>
              <w:t>uzyskania w/w informacji).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t>Dokumenty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Deklaracja zgodności CE dla oferowanego modelu komputera (załącz</w:t>
            </w:r>
            <w:r w:rsidR="00D97FEF">
              <w:rPr>
                <w:color w:val="000000"/>
              </w:rPr>
              <w:t>ona</w:t>
            </w:r>
            <w:r>
              <w:rPr>
                <w:color w:val="000000"/>
              </w:rPr>
              <w:t xml:space="preserve"> do oferty) lub równoważne.</w:t>
            </w:r>
          </w:p>
          <w:p w:rsidR="00587207" w:rsidRDefault="00207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Oferowany model komputera musi posiadać certyfikat Microsoft, potwierdzający poprawną współpracę z oferowanym systemem operacyjnym (załącz</w:t>
            </w:r>
            <w:r w:rsidR="00D97FEF">
              <w:rPr>
                <w:color w:val="000000"/>
              </w:rPr>
              <w:t>ony</w:t>
            </w:r>
            <w:r>
              <w:rPr>
                <w:color w:val="000000"/>
              </w:rPr>
              <w:t xml:space="preserve"> </w:t>
            </w:r>
            <w:r w:rsidR="00D97FEF">
              <w:rPr>
                <w:color w:val="000000"/>
              </w:rPr>
              <w:t xml:space="preserve">do oferty </w:t>
            </w:r>
            <w:r>
              <w:rPr>
                <w:color w:val="000000"/>
              </w:rPr>
              <w:t>wydruk ze strony Microsoft WHCL lub oświadczenie producenta komputera) lub równoważne dla oferowanego systemu operacyjnego.</w:t>
            </w:r>
          </w:p>
          <w:p w:rsidR="00587207" w:rsidRDefault="002077C7" w:rsidP="00D97FE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Certyfikat TCO dla zaoferowanego modelu komputera (załącz</w:t>
            </w:r>
            <w:r w:rsidR="00D97FEF">
              <w:rPr>
                <w:color w:val="000000"/>
              </w:rPr>
              <w:t>ony</w:t>
            </w:r>
            <w:r>
              <w:rPr>
                <w:color w:val="000000"/>
              </w:rPr>
              <w:t xml:space="preserve"> do oferty wydruk ze strony </w:t>
            </w:r>
            <w:hyperlink r:id="rId10">
              <w:r>
                <w:rPr>
                  <w:color w:val="0563C1"/>
                  <w:u w:val="single"/>
                </w:rPr>
                <w:t>https://tcocertified.com/</w:t>
              </w:r>
            </w:hyperlink>
            <w:r>
              <w:rPr>
                <w:color w:val="000000"/>
              </w:rPr>
              <w:t>) lub równoważne.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Warunki gwarancji </w:t>
            </w:r>
          </w:p>
          <w:p w:rsidR="00587207" w:rsidRDefault="00587207">
            <w:pPr>
              <w:spacing w:before="0" w:line="240" w:lineRule="auto"/>
              <w:jc w:val="left"/>
            </w:pP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Minimum 3-letnia gwarancja producenta komputera na komputer i dołączone akcesoria oraz minimum rok na baterię, liczone od daty dostawy.</w:t>
            </w:r>
          </w:p>
          <w:p w:rsidR="00587207" w:rsidRDefault="002077C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Serwis urządzeń realizowany przez producenta lub autoryzowanego partnera serwisowego producenta w miejscu użytkowania sprzętu (onsite).</w:t>
            </w:r>
          </w:p>
          <w:p w:rsidR="00587207" w:rsidRDefault="002077C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Serwis urządzeń realizowany zgodnie z wymaganiami normy ISO 9001 lub inną normą odpowiadającą ISO 9001.</w:t>
            </w:r>
          </w:p>
        </w:tc>
      </w:tr>
    </w:tbl>
    <w:p w:rsidR="00587207" w:rsidRDefault="00587207">
      <w:pPr>
        <w:ind w:left="7371"/>
      </w:pPr>
    </w:p>
    <w:p w:rsidR="00587207" w:rsidRDefault="002077C7" w:rsidP="004D1E73">
      <w:pPr>
        <w:spacing w:before="0" w:line="240" w:lineRule="auto"/>
      </w:pPr>
      <w:r>
        <w:t>* Opis (cechy) równoważności dla systemu operacyjnego</w:t>
      </w:r>
    </w:p>
    <w:p w:rsidR="00587207" w:rsidRDefault="002077C7" w:rsidP="004D1E73">
      <w:pPr>
        <w:spacing w:before="0" w:line="240" w:lineRule="auto"/>
      </w:pPr>
      <w:r>
        <w:t>System operacyjny musi spełniać następujące wymagania poprzez wbudowane mechanizmy, bez użycia dodatkowych aplikacji: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dokonywania bezpłatnych aktualizacji i poprawek w ramach wersji systemu operacyjnego poprzez Internet, mechanizmem udostępnianym przez producenta systemu z możliwością wyboru instalowanych poprawek oraz mechanizmem sprawdzającym, które z poprawek są potrzebne.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dokonywania uaktualnień sterowników urządzeń przez Internet – witrynę producenta systemu.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Internetowa aktualizacja zapewniona w języku polskim.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Wbudowana zapora internetowa (firewall) dla ochrony połączeń internetowych.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Zintegrowana z systemem konsola do zarządzania ustawieniami zapory i regułami IP v4 i v6.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Zintegrowany z systemem moduł wyszukiwania informacji (plików różnego typu) dostępny z kilku poziomów: poziom menu, poziom otwartego okna systemu operacyjnego.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System wyszukiwania oparty na konfigurowalnym przez użytkownika module indeksacji zasobów lokalnych.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Zintegrowane z systemem operacyjnym narzędzia zwalczające złośliwe oprogramowanie; aktualizacje dostępne u producenta nieodpłatnie bez ograniczeń czasowych.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przystosowania stanowiska dla osób niepełnosprawnych (np. słabo widzących).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Wsparcie dla Java i .NET Framework 2.0, 3.0 i wyższych - możliwość uruchomienia aplikacji działających we wskazanych środowiskach.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Wsparcie dla JScript i VBScript - możliwość uruchamiania interpretera poleceń.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łatwego uruchomienia i użytkowania platform do nauki zdalnej, m.in. Microsoft Teams, Google Classroom, G Suite, Discord, Zoom.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Obsługa ActiveX.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przywracania plików systemowych.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Wsparcie dla architektury 64 bitowej.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Nie jest dopuszczalne rozwiązanie w zakresie emulacji systemu operacyjnego.</w:t>
      </w:r>
    </w:p>
    <w:p w:rsidR="00587207" w:rsidRDefault="002077C7">
      <w:pPr>
        <w:spacing w:before="0" w:after="160"/>
        <w:jc w:val="left"/>
        <w:rPr>
          <w:b/>
          <w:bCs/>
        </w:rPr>
      </w:pPr>
      <w:r>
        <w:br w:type="page"/>
      </w:r>
    </w:p>
    <w:tbl>
      <w:tblPr>
        <w:tblStyle w:val="a2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11625"/>
      </w:tblGrid>
      <w:tr w:rsidR="00587207">
        <w:tc>
          <w:tcPr>
            <w:tcW w:w="14459" w:type="dxa"/>
            <w:gridSpan w:val="2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Monitory</w:t>
            </w:r>
          </w:p>
        </w:tc>
      </w:tr>
      <w:tr w:rsidR="00587207">
        <w:tc>
          <w:tcPr>
            <w:tcW w:w="2834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Nazwa elementu</w:t>
            </w:r>
          </w:p>
        </w:tc>
        <w:tc>
          <w:tcPr>
            <w:tcW w:w="11625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Minimalne parametry techniczne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Typ ekranu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Ekran dotykowy z aktywną matrycą panoramiczną z podświetleniem LED o przekątnej</w:t>
            </w:r>
            <w:r>
              <w:t xml:space="preserve"> co najmniej </w:t>
            </w:r>
            <w:r>
              <w:rPr>
                <w:color w:val="000000"/>
              </w:rPr>
              <w:t>65”</w:t>
            </w:r>
            <w:r w:rsidR="00D97FEF">
              <w:rPr>
                <w:color w:val="000000"/>
              </w:rPr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Jasność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t>5</w:t>
            </w:r>
            <w:r>
              <w:rPr>
                <w:color w:val="000000"/>
              </w:rPr>
              <w:t>0 cd/m</w:t>
            </w:r>
            <w:r>
              <w:rPr>
                <w:color w:val="000000"/>
                <w:vertAlign w:val="superscript"/>
              </w:rPr>
              <w:t>2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Kontrast statyczny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1200:1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Kąty widzenia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170/170 stopni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Czas reakcji matrycy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Maks. 8</w:t>
            </w:r>
            <w:r w:rsidR="00D97FE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ms (Gray to Gray)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Rozdzielczość nominalna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Min. 3840 x 2160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 w:rsidP="0095499B">
            <w:pPr>
              <w:spacing w:before="0" w:line="240" w:lineRule="auto"/>
              <w:jc w:val="left"/>
            </w:pPr>
            <w:r>
              <w:t>Powłoka powierzchni ekranu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08"/>
            </w:pPr>
            <w:r>
              <w:t>Powłoka szklana o twardości min. 7H</w:t>
            </w:r>
            <w:r w:rsidR="00D97FEF"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Dotyk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08"/>
            </w:pPr>
            <w:r>
              <w:t>Stylusem, palcem</w:t>
            </w:r>
            <w:r w:rsidR="00D97FEF"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Zintegrowane oprogramowanie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08"/>
            </w:pPr>
            <w:r>
              <w:t>Przeglądarka sieci WWW, system zarządzania plikami, oprogramowanie pozwalające na bezprzewodowe łączenie z urządzeniami Windows/iOS/Android</w:t>
            </w:r>
            <w:r w:rsidR="00D97FEF"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Złącza</w:t>
            </w:r>
          </w:p>
        </w:tc>
        <w:tc>
          <w:tcPr>
            <w:tcW w:w="11625" w:type="dxa"/>
            <w:vAlign w:val="center"/>
          </w:tcPr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>Wejścia: 3x HDMI, Mini jack</w:t>
            </w:r>
            <w:r w:rsidR="00D97FEF" w:rsidRPr="0095499B">
              <w:rPr>
                <w:color w:val="000000"/>
              </w:rPr>
              <w:t>.</w:t>
            </w:r>
          </w:p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>Wyjścia: HDMI, Mini jack</w:t>
            </w:r>
            <w:r w:rsidR="00D97FEF" w:rsidRPr="0095499B">
              <w:rPr>
                <w:color w:val="000000"/>
              </w:rPr>
              <w:t>.</w:t>
            </w:r>
          </w:p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>RJ-45 (LAN)</w:t>
            </w:r>
            <w:r w:rsidR="00D97FEF" w:rsidRPr="0095499B">
              <w:rPr>
                <w:color w:val="000000"/>
              </w:rPr>
              <w:t>.</w:t>
            </w:r>
          </w:p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>3x USB w tym przynajmniej 1x</w:t>
            </w:r>
            <w:r>
              <w:t xml:space="preserve"> </w:t>
            </w:r>
            <w:r w:rsidRPr="0095499B">
              <w:rPr>
                <w:color w:val="000000"/>
              </w:rPr>
              <w:t>USB-C z obsługą transmisji danych, Power Delivery min. 65W oraz DisplayPort Alt Mode, w standardzie co najmniej USB 3.2 Gen 1</w:t>
            </w:r>
            <w:r w:rsidR="00D97FEF" w:rsidRPr="0095499B">
              <w:rPr>
                <w:color w:val="000000"/>
              </w:rPr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Dźwięk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Wbudowane głośniki stereo</w:t>
            </w:r>
            <w:r w:rsidR="00D97FEF">
              <w:rPr>
                <w:color w:val="000000"/>
              </w:rPr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Zasilanie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47"/>
            </w:pPr>
            <w:r>
              <w:t>Wbudowany zasilacz - pobór mocy podczas standardowej pracy: maksymalnie 150W (dla ekranów 65”)</w:t>
            </w:r>
            <w:r w:rsidR="00D97FEF"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Wifi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Moduł WiFi min 5</w:t>
            </w:r>
          </w:p>
          <w:p w:rsidR="00587207" w:rsidRDefault="002077C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Obsługa Bluetooth 5.0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Dołączone akcesoria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Kable:</w:t>
            </w:r>
            <w:r>
              <w:rPr>
                <w:color w:val="000000"/>
              </w:rPr>
              <w:tab/>
              <w:t>zasilający, USB-C, HDMI o długości 3</w:t>
            </w:r>
            <w:r w:rsidR="00D97FE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 każdy</w:t>
            </w:r>
            <w:r>
              <w:t xml:space="preserve">. </w:t>
            </w:r>
            <w:r>
              <w:rPr>
                <w:color w:val="000000"/>
              </w:rPr>
              <w:t>Kabel USB-C (C-C)</w:t>
            </w:r>
            <w:r>
              <w:t xml:space="preserve"> ma być</w:t>
            </w:r>
            <w:r>
              <w:rPr>
                <w:color w:val="000000"/>
              </w:rPr>
              <w:t xml:space="preserve"> pełnofunkcyjny, obsługujący DisplayPort Alt Mode oraz USB Power Delivery o mocy min. 65 W, zgodny ze standardem USB 3.2 Gen 1 lub wyższym</w:t>
            </w:r>
            <w: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2x pióro dotykowe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Instrukcja obsługi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Pilot z dołączonymi bateriami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Wózek dostosowany do oferowanego monitora, posiadający wielokierunkowe koła w celu łatwego przesuwania i ustawiania w dowolnym miejscu.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lastRenderedPageBreak/>
              <w:t>Standardy i certyfikaty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Deklaracja zgodności CE dla oferowanego modelu monitora lub równoważna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Certyfikaty: REACH (RoHS), WEEE</w:t>
            </w:r>
            <w:r w:rsidR="00D97FEF">
              <w:rPr>
                <w:color w:val="000000"/>
              </w:rPr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t>Warunki gwarancji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Min. 3-letnia gwarancja producenta monitora liczona od daty dostawy, świadczona w miejscu instalacji monitora.</w:t>
            </w:r>
          </w:p>
          <w:p w:rsidR="00587207" w:rsidRDefault="002077C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Serwis urządzeń realizowany przez producenta lub autoryzowanego partnera serwisowego producenta.</w:t>
            </w:r>
          </w:p>
          <w:p w:rsidR="00587207" w:rsidRDefault="002077C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Serwis urządzeń realizowany zgodnie z wymaganiami normy ISO 9001 lub równoważną.</w:t>
            </w:r>
          </w:p>
        </w:tc>
      </w:tr>
    </w:tbl>
    <w:p w:rsidR="00587207" w:rsidRDefault="00587207"/>
    <w:sectPr w:rsidR="00587207"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9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A26" w:rsidRDefault="000B0A26">
      <w:pPr>
        <w:spacing w:before="0" w:line="240" w:lineRule="auto"/>
      </w:pPr>
      <w:r>
        <w:separator/>
      </w:r>
    </w:p>
  </w:endnote>
  <w:endnote w:type="continuationSeparator" w:id="0">
    <w:p w:rsidR="000B0A26" w:rsidRDefault="000B0A2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21672AC-8658-483E-BE8C-A20D0B8581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DB6B746-2339-415D-AF5A-5AD1E98831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11ABF13-7C41-476A-8A9C-E4359DF0120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B484913-C730-4543-9F6D-871B6A4B9E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BBE4953-844B-49C8-98CA-17201B3F1D4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07" w:rsidRDefault="002077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right"/>
      <w:rPr>
        <w:color w:val="000000"/>
      </w:rPr>
    </w:pPr>
    <w:r>
      <w:rPr>
        <w:noProof/>
        <w:color w:val="000000"/>
        <w:sz w:val="24"/>
        <w:szCs w:val="24"/>
        <w:lang w:val="pl-PL"/>
      </w:rPr>
      <w:drawing>
        <wp:inline distT="0" distB="0" distL="0" distR="0">
          <wp:extent cx="5759450" cy="798427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798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63ED6">
      <w:rPr>
        <w:noProof/>
        <w:color w:val="000000"/>
      </w:rPr>
      <w:t>3</w:t>
    </w:r>
    <w:r>
      <w:rPr>
        <w:color w:val="000000"/>
      </w:rPr>
      <w:fldChar w:fldCharType="end"/>
    </w:r>
  </w:p>
  <w:p w:rsidR="00587207" w:rsidRDefault="005872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07" w:rsidRDefault="002077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center"/>
      <w:rPr>
        <w:color w:val="000000"/>
      </w:rPr>
    </w:pPr>
    <w:r>
      <w:rPr>
        <w:noProof/>
        <w:color w:val="000000"/>
        <w:sz w:val="24"/>
        <w:szCs w:val="24"/>
        <w:lang w:val="pl-PL"/>
      </w:rPr>
      <w:drawing>
        <wp:inline distT="0" distB="0" distL="0" distR="0">
          <wp:extent cx="5759450" cy="798427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798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A26" w:rsidRDefault="000B0A26">
      <w:pPr>
        <w:spacing w:before="0" w:line="240" w:lineRule="auto"/>
      </w:pPr>
      <w:r>
        <w:separator/>
      </w:r>
    </w:p>
  </w:footnote>
  <w:footnote w:type="continuationSeparator" w:id="0">
    <w:p w:rsidR="000B0A26" w:rsidRDefault="000B0A2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07" w:rsidRDefault="002077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pl-PL"/>
      </w:rPr>
      <w:drawing>
        <wp:inline distT="0" distB="0" distL="0" distR="0">
          <wp:extent cx="3310424" cy="522255"/>
          <wp:effectExtent l="0" t="0" r="0" b="0"/>
          <wp:docPr id="18" name="image1.jpg" descr="ORE_LOGO_e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RE_LOGO_e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0424" cy="522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7C1D"/>
    <w:multiLevelType w:val="multilevel"/>
    <w:tmpl w:val="F12CBA7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763595"/>
    <w:multiLevelType w:val="multilevel"/>
    <w:tmpl w:val="90582C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879BB"/>
    <w:multiLevelType w:val="multilevel"/>
    <w:tmpl w:val="7D9083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0E16"/>
    <w:multiLevelType w:val="multilevel"/>
    <w:tmpl w:val="2F04FE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9795A"/>
    <w:multiLevelType w:val="multilevel"/>
    <w:tmpl w:val="95BA73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35359"/>
    <w:multiLevelType w:val="multilevel"/>
    <w:tmpl w:val="AB046D3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5"/>
        <w:szCs w:val="2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D7275"/>
    <w:multiLevelType w:val="multilevel"/>
    <w:tmpl w:val="808A91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12F67"/>
    <w:multiLevelType w:val="multilevel"/>
    <w:tmpl w:val="6E0641D0"/>
    <w:lvl w:ilvl="0">
      <w:start w:val="1"/>
      <w:numFmt w:val="lowerLetter"/>
      <w:lvlText w:val="%1)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E025E99"/>
    <w:multiLevelType w:val="multilevel"/>
    <w:tmpl w:val="CA0226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05784"/>
    <w:multiLevelType w:val="multilevel"/>
    <w:tmpl w:val="6CE883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328F9"/>
    <w:multiLevelType w:val="multilevel"/>
    <w:tmpl w:val="3A426A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627FE"/>
    <w:multiLevelType w:val="multilevel"/>
    <w:tmpl w:val="F6EA25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C5129"/>
    <w:multiLevelType w:val="multilevel"/>
    <w:tmpl w:val="8E5E32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603"/>
    <w:multiLevelType w:val="multilevel"/>
    <w:tmpl w:val="95928D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37A4B"/>
    <w:multiLevelType w:val="multilevel"/>
    <w:tmpl w:val="9DF442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F50BF"/>
    <w:multiLevelType w:val="multilevel"/>
    <w:tmpl w:val="DD1ADE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E16544"/>
    <w:multiLevelType w:val="multilevel"/>
    <w:tmpl w:val="774ACA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43F7A"/>
    <w:multiLevelType w:val="hybridMultilevel"/>
    <w:tmpl w:val="B46C2C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5"/>
  </w:num>
  <w:num w:numId="7">
    <w:abstractNumId w:val="9"/>
  </w:num>
  <w:num w:numId="8">
    <w:abstractNumId w:val="0"/>
  </w:num>
  <w:num w:numId="9">
    <w:abstractNumId w:val="1"/>
  </w:num>
  <w:num w:numId="10">
    <w:abstractNumId w:val="14"/>
  </w:num>
  <w:num w:numId="11">
    <w:abstractNumId w:val="16"/>
  </w:num>
  <w:num w:numId="12">
    <w:abstractNumId w:val="12"/>
  </w:num>
  <w:num w:numId="13">
    <w:abstractNumId w:val="3"/>
  </w:num>
  <w:num w:numId="14">
    <w:abstractNumId w:val="10"/>
  </w:num>
  <w:num w:numId="15">
    <w:abstractNumId w:val="8"/>
  </w:num>
  <w:num w:numId="16">
    <w:abstractNumId w:val="4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07"/>
    <w:rsid w:val="000B0A26"/>
    <w:rsid w:val="00174607"/>
    <w:rsid w:val="001C4BFA"/>
    <w:rsid w:val="002077C7"/>
    <w:rsid w:val="00363ED6"/>
    <w:rsid w:val="004D1E73"/>
    <w:rsid w:val="00512A1F"/>
    <w:rsid w:val="00587207"/>
    <w:rsid w:val="005C50D9"/>
    <w:rsid w:val="00605DA6"/>
    <w:rsid w:val="0095499B"/>
    <w:rsid w:val="00D97FEF"/>
    <w:rsid w:val="00DE21A9"/>
    <w:rsid w:val="00EF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6AB07"/>
  <w15:docId w15:val="{E010C9BC-263D-45C4-934C-0F0C96CF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5"/>
        <w:szCs w:val="25"/>
        <w:lang w:val="pl" w:eastAsia="pl-PL" w:bidi="ar-SA"/>
      </w:rPr>
    </w:rPrDefault>
    <w:pPrDefault>
      <w:pPr>
        <w:spacing w:before="9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yle12">
    <w:name w:val="Style12"/>
    <w:uiPriority w:val="99"/>
    <w:rsid w:val="00624111"/>
    <w:pPr>
      <w:widowControl w:val="0"/>
      <w:adjustRightInd w:val="0"/>
      <w:spacing w:before="0" w:line="190" w:lineRule="exact"/>
    </w:pPr>
    <w:rPr>
      <w:rFonts w:ascii="Arial" w:hAnsi="Arial"/>
      <w:sz w:val="24"/>
      <w:szCs w:val="24"/>
    </w:rPr>
  </w:style>
  <w:style w:type="paragraph" w:styleId="Akapitzlist">
    <w:name w:val="List Paragraph"/>
    <w:link w:val="AkapitzlistZnak"/>
    <w:uiPriority w:val="34"/>
    <w:qFormat/>
    <w:rsid w:val="00624111"/>
    <w:pPr>
      <w:ind w:left="708"/>
    </w:pPr>
  </w:style>
  <w:style w:type="paragraph" w:customStyle="1" w:styleId="Default">
    <w:name w:val="Default"/>
    <w:rsid w:val="00624111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624111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015F8"/>
    <w:rPr>
      <w:color w:val="0563C1" w:themeColor="hyperlink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54536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36B"/>
    <w:rPr>
      <w:rFonts w:ascii="Segoe UI" w:eastAsia="Times New Roman" w:hAnsi="Segoe UI" w:cs="Segoe UI"/>
      <w:w w:val="89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825B1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260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43D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link w:val="TekstkomentarzaZnak"/>
    <w:uiPriority w:val="99"/>
    <w:unhideWhenUsed/>
    <w:rsid w:val="00ED4071"/>
    <w:pPr>
      <w:spacing w:line="240" w:lineRule="auto"/>
    </w:pPr>
    <w:rPr>
      <w:rFonts w:ascii="Calibri" w:hAnsi="Calibr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4071"/>
    <w:rPr>
      <w:rFonts w:ascii="Calibri" w:eastAsia="Times New Roman" w:hAnsi="Calibri" w:cs="Times New Roman"/>
      <w:w w:val="89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355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A156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156B"/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156B"/>
    <w:rPr>
      <w:rFonts w:ascii="Times New Roman" w:eastAsia="Times New Roman" w:hAnsi="Times New Roman" w:cs="Times New Roman"/>
      <w:b/>
      <w:bCs/>
      <w:w w:val="89"/>
      <w:sz w:val="20"/>
      <w:szCs w:val="20"/>
      <w:lang w:eastAsia="pl-PL"/>
    </w:rPr>
  </w:style>
  <w:style w:type="paragraph" w:styleId="Nagwek">
    <w:name w:val="header"/>
    <w:link w:val="NagwekZnak"/>
    <w:uiPriority w:val="99"/>
    <w:unhideWhenUsed/>
    <w:rsid w:val="005444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6A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5444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6A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17CED"/>
    <w:rPr>
      <w:color w:val="605E5C"/>
      <w:shd w:val="clear" w:color="auto" w:fill="E1DFDD"/>
    </w:rPr>
  </w:style>
  <w:style w:type="character" w:customStyle="1" w:styleId="attribute-values">
    <w:name w:val="attribute-values"/>
    <w:basedOn w:val="Domylnaczcionkaakapitu"/>
    <w:rsid w:val="00241052"/>
  </w:style>
  <w:style w:type="paragraph" w:styleId="Poprawka">
    <w:name w:val="Revision"/>
    <w:hidden/>
    <w:uiPriority w:val="99"/>
    <w:semiHidden/>
    <w:rsid w:val="00D17C4D"/>
    <w:pPr>
      <w:spacing w:line="240" w:lineRule="auto"/>
    </w:pPr>
    <w:rPr>
      <w:w w:val="89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cocertified.com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pubenchmark.net/cpu_list.php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BtscDm2PI9I7ZKcuvRR7RZPKQ==">CgMxLjAyDmguemh4Mjh3aWlkeTl2OABqKQoUc3VnZ2VzdC50eGhlMGJvM3hudWoSEUpvYW5uYSBXb2p0ecWEc2thaikKFHN1Z2dlc3QuYXJqN3ljYWpjdjQ3EhFKb2FubmEgV29qdHnFhHNrYWoqChRzdWdnZXN0LmFpbTl0eWMyMTQ3bBISR3J6ZWdvcnogS3VzenRlbGFraikKFHN1Z2dlc3QuZnVpZWYwemVld3A2EhFKb2FubmEgV29qdHnFhHNrYWopChRzdWdnZXN0Lml2ZDRud3djZ3JiMBIRSm9hbm5hIFdvanR5xYRza2FqKQoUc3VnZ2VzdC5yMmxnYWc2MTdrdjESEUpvYW5uYSBXb2p0ecWEc2thaikKFHN1Z2dlc3QuYWFmMmEyM3JnMGxtEhFKb2FubmEgV29qdHnFhHNrYXIhMUFtV09QbzUwdzQ4dmNWU1dTU0E5cTRjNFhQTEtidDR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BD8276-1897-471A-9BE2-268BD8F24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1377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Moraczewski Maciej</dc:creator>
  <cp:lastModifiedBy>Wojtyńska Joanna</cp:lastModifiedBy>
  <cp:revision>2</cp:revision>
  <dcterms:created xsi:type="dcterms:W3CDTF">2026-01-07T19:54:00Z</dcterms:created>
  <dcterms:modified xsi:type="dcterms:W3CDTF">2026-01-07T19:54:00Z</dcterms:modified>
</cp:coreProperties>
</file>