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66DEA" w14:textId="77777777" w:rsidR="008C20D3" w:rsidRDefault="008C20D3">
      <w:pPr>
        <w:spacing w:after="0" w:line="240" w:lineRule="auto"/>
        <w:jc w:val="both"/>
        <w:rPr>
          <w:rFonts w:ascii="Times New Roman" w:hAnsi="Times New Roman"/>
          <w:color w:val="000000"/>
          <w:sz w:val="20"/>
          <w:szCs w:val="20"/>
          <w:highlight w:val="white"/>
        </w:rPr>
      </w:pPr>
    </w:p>
    <w:p w14:paraId="5D239288" w14:textId="77777777" w:rsidR="008C20D3" w:rsidRDefault="00000000">
      <w:pPr>
        <w:pBdr>
          <w:top w:val="nil"/>
          <w:left w:val="nil"/>
          <w:bottom w:val="nil"/>
          <w:right w:val="nil"/>
          <w:between w:val="nil"/>
        </w:pBdr>
        <w:spacing w:after="0" w:line="240" w:lineRule="auto"/>
        <w:jc w:val="both"/>
        <w:rPr>
          <w:rFonts w:ascii="Times New Roman" w:hAnsi="Times New Roman"/>
          <w:color w:val="000000"/>
          <w:sz w:val="20"/>
          <w:szCs w:val="20"/>
        </w:rPr>
      </w:pPr>
      <w:r>
        <w:rPr>
          <w:rFonts w:ascii="Times New Roman" w:hAnsi="Times New Roman"/>
          <w:sz w:val="20"/>
          <w:szCs w:val="20"/>
        </w:rPr>
        <w:t xml:space="preserve">Dane </w:t>
      </w:r>
      <w:r>
        <w:rPr>
          <w:rFonts w:ascii="Times New Roman" w:hAnsi="Times New Roman"/>
          <w:color w:val="000000"/>
          <w:sz w:val="20"/>
          <w:szCs w:val="20"/>
        </w:rPr>
        <w:t>firmy (</w:t>
      </w:r>
      <w:r>
        <w:rPr>
          <w:rFonts w:ascii="Times New Roman" w:hAnsi="Times New Roman"/>
          <w:sz w:val="20"/>
          <w:szCs w:val="20"/>
        </w:rPr>
        <w:t>na</w:t>
      </w:r>
      <w:r>
        <w:rPr>
          <w:rFonts w:ascii="Times New Roman" w:hAnsi="Times New Roman"/>
          <w:color w:val="000000"/>
          <w:sz w:val="20"/>
          <w:szCs w:val="20"/>
        </w:rPr>
        <w:t xml:space="preserve">zwa, </w:t>
      </w:r>
      <w:r>
        <w:rPr>
          <w:rFonts w:ascii="Times New Roman" w:hAnsi="Times New Roman"/>
          <w:sz w:val="20"/>
          <w:szCs w:val="20"/>
        </w:rPr>
        <w:t>a</w:t>
      </w:r>
      <w:r>
        <w:rPr>
          <w:rFonts w:ascii="Times New Roman" w:hAnsi="Times New Roman"/>
          <w:color w:val="000000"/>
          <w:sz w:val="20"/>
          <w:szCs w:val="20"/>
        </w:rPr>
        <w:t>dres</w:t>
      </w:r>
      <w:r>
        <w:rPr>
          <w:rFonts w:ascii="Times New Roman" w:hAnsi="Times New Roman"/>
          <w:sz w:val="20"/>
          <w:szCs w:val="20"/>
        </w:rPr>
        <w:t>)</w:t>
      </w:r>
      <w:r>
        <w:rPr>
          <w:rFonts w:ascii="Times New Roman" w:hAnsi="Times New Roman"/>
          <w:color w:val="000000"/>
          <w:sz w:val="20"/>
          <w:szCs w:val="20"/>
        </w:rPr>
        <w:t xml:space="preserve"> :</w:t>
      </w:r>
    </w:p>
    <w:p w14:paraId="38B95428" w14:textId="77777777" w:rsidR="008C20D3" w:rsidRDefault="008C20D3">
      <w:pPr>
        <w:pBdr>
          <w:top w:val="nil"/>
          <w:left w:val="nil"/>
          <w:bottom w:val="nil"/>
          <w:right w:val="nil"/>
          <w:between w:val="nil"/>
        </w:pBdr>
        <w:spacing w:after="0" w:line="240" w:lineRule="auto"/>
        <w:jc w:val="both"/>
        <w:rPr>
          <w:rFonts w:ascii="Times New Roman" w:hAnsi="Times New Roman"/>
          <w:sz w:val="20"/>
          <w:szCs w:val="20"/>
        </w:rPr>
      </w:pPr>
    </w:p>
    <w:p w14:paraId="38DE59D3"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w:t>
      </w:r>
    </w:p>
    <w:p w14:paraId="4528BE95" w14:textId="77777777" w:rsidR="008C20D3" w:rsidRDefault="008C20D3">
      <w:pPr>
        <w:spacing w:after="0" w:line="240" w:lineRule="auto"/>
        <w:jc w:val="both"/>
        <w:rPr>
          <w:rFonts w:ascii="Times New Roman" w:hAnsi="Times New Roman"/>
          <w:sz w:val="20"/>
          <w:szCs w:val="20"/>
        </w:rPr>
      </w:pPr>
    </w:p>
    <w:p w14:paraId="4724262E"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w:t>
      </w:r>
    </w:p>
    <w:p w14:paraId="50D99A90" w14:textId="77777777" w:rsidR="008C20D3" w:rsidRDefault="008C20D3">
      <w:pPr>
        <w:pBdr>
          <w:top w:val="nil"/>
          <w:left w:val="nil"/>
          <w:bottom w:val="nil"/>
          <w:right w:val="nil"/>
          <w:between w:val="nil"/>
        </w:pBdr>
        <w:spacing w:after="0" w:line="240" w:lineRule="auto"/>
        <w:jc w:val="both"/>
        <w:rPr>
          <w:rFonts w:ascii="Times New Roman" w:hAnsi="Times New Roman"/>
          <w:sz w:val="20"/>
          <w:szCs w:val="20"/>
        </w:rPr>
      </w:pPr>
    </w:p>
    <w:p w14:paraId="470B56B6" w14:textId="77777777" w:rsidR="008C20D3" w:rsidRDefault="00000000">
      <w:pPr>
        <w:pBdr>
          <w:top w:val="nil"/>
          <w:left w:val="nil"/>
          <w:bottom w:val="nil"/>
          <w:right w:val="nil"/>
          <w:between w:val="nil"/>
        </w:pBdr>
        <w:spacing w:after="0" w:line="240" w:lineRule="auto"/>
        <w:jc w:val="both"/>
        <w:rPr>
          <w:rFonts w:ascii="Times New Roman" w:hAnsi="Times New Roman"/>
          <w:color w:val="000000"/>
          <w:sz w:val="20"/>
          <w:szCs w:val="20"/>
        </w:rPr>
      </w:pPr>
      <w:r>
        <w:rPr>
          <w:rFonts w:ascii="Times New Roman" w:hAnsi="Times New Roman"/>
          <w:sz w:val="20"/>
          <w:szCs w:val="20"/>
        </w:rPr>
        <w:t>NIP</w:t>
      </w:r>
      <w:r>
        <w:rPr>
          <w:rFonts w:ascii="Times New Roman" w:hAnsi="Times New Roman"/>
          <w:color w:val="000000"/>
          <w:sz w:val="20"/>
          <w:szCs w:val="20"/>
        </w:rPr>
        <w:t>:</w:t>
      </w:r>
    </w:p>
    <w:p w14:paraId="190A5A23" w14:textId="77777777" w:rsidR="008C20D3" w:rsidRDefault="00000000">
      <w:pPr>
        <w:pBdr>
          <w:top w:val="nil"/>
          <w:left w:val="nil"/>
          <w:bottom w:val="nil"/>
          <w:right w:val="nil"/>
          <w:between w:val="nil"/>
        </w:pBd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p>
    <w:p w14:paraId="3D30B846" w14:textId="77777777" w:rsidR="008C20D3" w:rsidRDefault="008C20D3">
      <w:pPr>
        <w:spacing w:after="0" w:line="240" w:lineRule="auto"/>
        <w:jc w:val="both"/>
        <w:rPr>
          <w:rFonts w:ascii="Times New Roman" w:hAnsi="Times New Roman"/>
          <w:color w:val="000000"/>
          <w:sz w:val="20"/>
          <w:szCs w:val="20"/>
          <w:highlight w:val="white"/>
        </w:rPr>
      </w:pPr>
    </w:p>
    <w:p w14:paraId="111A1AD1" w14:textId="77777777" w:rsidR="008C20D3" w:rsidRDefault="008C20D3">
      <w:pPr>
        <w:spacing w:after="0" w:line="240" w:lineRule="auto"/>
        <w:jc w:val="both"/>
        <w:rPr>
          <w:rFonts w:ascii="Times New Roman" w:hAnsi="Times New Roman"/>
          <w:color w:val="000000"/>
          <w:sz w:val="20"/>
          <w:szCs w:val="20"/>
          <w:highlight w:val="white"/>
        </w:rPr>
      </w:pPr>
    </w:p>
    <w:p w14:paraId="31837F0C" w14:textId="77777777" w:rsidR="008C20D3" w:rsidRDefault="00000000">
      <w:pPr>
        <w:spacing w:after="0" w:line="240" w:lineRule="auto"/>
        <w:jc w:val="center"/>
        <w:rPr>
          <w:rFonts w:ascii="Times New Roman" w:hAnsi="Times New Roman"/>
          <w:color w:val="000000"/>
          <w:sz w:val="20"/>
          <w:szCs w:val="20"/>
          <w:highlight w:val="white"/>
        </w:rPr>
      </w:pPr>
      <w:r>
        <w:rPr>
          <w:rFonts w:ascii="Times New Roman" w:hAnsi="Times New Roman"/>
          <w:color w:val="000000"/>
          <w:sz w:val="20"/>
          <w:szCs w:val="20"/>
          <w:highlight w:val="white"/>
        </w:rPr>
        <w:t>załącznik nr.4 - formularz szacowanej wyceny</w:t>
      </w:r>
    </w:p>
    <w:p w14:paraId="1CADAEE7" w14:textId="77777777" w:rsidR="008C20D3" w:rsidRDefault="008C20D3">
      <w:pPr>
        <w:spacing w:after="0" w:line="240" w:lineRule="auto"/>
        <w:jc w:val="both"/>
        <w:rPr>
          <w:rFonts w:ascii="Times New Roman" w:hAnsi="Times New Roman"/>
          <w:sz w:val="20"/>
          <w:szCs w:val="20"/>
        </w:rPr>
      </w:pPr>
    </w:p>
    <w:p w14:paraId="4E1B8898" w14:textId="77777777" w:rsidR="008C20D3" w:rsidRDefault="00000000">
      <w:pPr>
        <w:spacing w:after="0" w:line="240" w:lineRule="auto"/>
        <w:jc w:val="both"/>
        <w:rPr>
          <w:rFonts w:ascii="Times New Roman" w:hAnsi="Times New Roman"/>
          <w:b/>
          <w:color w:val="222222"/>
          <w:sz w:val="20"/>
          <w:szCs w:val="20"/>
          <w:highlight w:val="white"/>
        </w:rPr>
      </w:pPr>
      <w:r>
        <w:rPr>
          <w:rFonts w:ascii="Times New Roman" w:hAnsi="Times New Roman"/>
          <w:color w:val="222222"/>
          <w:sz w:val="20"/>
          <w:szCs w:val="20"/>
          <w:highlight w:val="white"/>
        </w:rPr>
        <w:t xml:space="preserve">Uprzejmie prosimy o </w:t>
      </w:r>
      <w:r>
        <w:rPr>
          <w:rFonts w:ascii="Times New Roman" w:hAnsi="Times New Roman"/>
          <w:b/>
          <w:color w:val="222222"/>
          <w:sz w:val="20"/>
          <w:szCs w:val="20"/>
          <w:highlight w:val="white"/>
        </w:rPr>
        <w:t xml:space="preserve">podanie (na podstawie przykładowych opisów zawartych w załączniku nr 1 do szacowania) </w:t>
      </w:r>
      <w:r>
        <w:rPr>
          <w:rFonts w:ascii="Times New Roman" w:hAnsi="Times New Roman"/>
          <w:b/>
          <w:color w:val="222222"/>
          <w:sz w:val="20"/>
          <w:szCs w:val="20"/>
          <w:highlight w:val="yellow"/>
        </w:rPr>
        <w:t>średniej</w:t>
      </w:r>
      <w:r>
        <w:rPr>
          <w:rFonts w:ascii="Times New Roman" w:hAnsi="Times New Roman"/>
          <w:b/>
          <w:color w:val="222222"/>
          <w:sz w:val="20"/>
          <w:szCs w:val="20"/>
          <w:highlight w:val="white"/>
        </w:rPr>
        <w:t xml:space="preserve"> ceny całkowitej netto oraz brutto z uwzględnieniem wszystkich ponoszonych przez Państwa kosztów na wyprodukowanie </w:t>
      </w:r>
      <w:r>
        <w:rPr>
          <w:rFonts w:ascii="Times New Roman" w:hAnsi="Times New Roman"/>
          <w:b/>
          <w:color w:val="222222"/>
          <w:sz w:val="20"/>
          <w:szCs w:val="20"/>
          <w:highlight w:val="yellow"/>
        </w:rPr>
        <w:t xml:space="preserve">jednej </w:t>
      </w:r>
      <w:r>
        <w:rPr>
          <w:rFonts w:ascii="Times New Roman" w:hAnsi="Times New Roman"/>
          <w:b/>
          <w:color w:val="222222"/>
          <w:sz w:val="20"/>
          <w:szCs w:val="20"/>
          <w:highlight w:val="white"/>
        </w:rPr>
        <w:t xml:space="preserve">wirtualnej rzeczywistości </w:t>
      </w:r>
      <w:r>
        <w:rPr>
          <w:rFonts w:ascii="Times New Roman" w:hAnsi="Times New Roman"/>
          <w:b/>
          <w:color w:val="222222"/>
          <w:sz w:val="20"/>
          <w:szCs w:val="20"/>
          <w:highlight w:val="yellow"/>
        </w:rPr>
        <w:t xml:space="preserve">VR </w:t>
      </w:r>
      <w:r>
        <w:rPr>
          <w:rFonts w:ascii="Times New Roman" w:hAnsi="Times New Roman"/>
          <w:b/>
          <w:color w:val="222222"/>
          <w:sz w:val="20"/>
          <w:szCs w:val="20"/>
        </w:rPr>
        <w:t xml:space="preserve">(w tym np. koszt zatrudnienia eksperta branżowego (zawodowego) </w:t>
      </w:r>
      <w:r>
        <w:rPr>
          <w:rFonts w:ascii="Times New Roman" w:hAnsi="Times New Roman"/>
          <w:color w:val="222222"/>
          <w:sz w:val="20"/>
          <w:szCs w:val="20"/>
        </w:rPr>
        <w:t xml:space="preserve">do opracowania scenariusza, utrzymania eksperta podczas produkcji materiału, a także zagwarantowanie jego udziału na etapie weryfikacji i odbioru e-materiału przez ORE) </w:t>
      </w:r>
      <w:r>
        <w:rPr>
          <w:rFonts w:ascii="Times New Roman" w:hAnsi="Times New Roman"/>
          <w:b/>
          <w:color w:val="222222"/>
          <w:sz w:val="20"/>
          <w:szCs w:val="20"/>
          <w:highlight w:val="white"/>
        </w:rPr>
        <w:t>oraz z uwzględnieniem zysku.</w:t>
      </w:r>
    </w:p>
    <w:p w14:paraId="1153FD4C" w14:textId="77777777" w:rsidR="008C20D3" w:rsidRDefault="008C20D3">
      <w:pPr>
        <w:spacing w:after="0" w:line="240" w:lineRule="auto"/>
        <w:jc w:val="both"/>
        <w:rPr>
          <w:rFonts w:ascii="Times New Roman" w:hAnsi="Times New Roman"/>
          <w:sz w:val="20"/>
          <w:szCs w:val="20"/>
        </w:rPr>
      </w:pPr>
    </w:p>
    <w:tbl>
      <w:tblPr>
        <w:tblStyle w:val="a"/>
        <w:tblW w:w="90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843"/>
        <w:gridCol w:w="1985"/>
        <w:gridCol w:w="2403"/>
      </w:tblGrid>
      <w:tr w:rsidR="008C20D3" w14:paraId="2F4A53BB" w14:textId="77777777">
        <w:tc>
          <w:tcPr>
            <w:tcW w:w="2835" w:type="dxa"/>
            <w:vMerge w:val="restart"/>
            <w:shd w:val="clear" w:color="auto" w:fill="9CC3E5"/>
          </w:tcPr>
          <w:p w14:paraId="5E290A6C" w14:textId="77777777" w:rsidR="008C20D3" w:rsidRDefault="00000000">
            <w:pPr>
              <w:spacing w:after="0" w:line="240" w:lineRule="auto"/>
              <w:jc w:val="both"/>
              <w:rPr>
                <w:rFonts w:ascii="Times New Roman" w:hAnsi="Times New Roman"/>
                <w:sz w:val="16"/>
                <w:szCs w:val="16"/>
              </w:rPr>
            </w:pPr>
            <w:r>
              <w:rPr>
                <w:rFonts w:ascii="Times New Roman" w:hAnsi="Times New Roman"/>
                <w:sz w:val="16"/>
                <w:szCs w:val="16"/>
                <w:shd w:val="clear" w:color="auto" w:fill="9CC3E5"/>
              </w:rPr>
              <w:t>Wykonanie wirtualnej rzeczywistości (VR) jako multimedium zastosowanego w e-materiałach w</w:t>
            </w:r>
            <w:r>
              <w:rPr>
                <w:rFonts w:ascii="Times New Roman" w:hAnsi="Times New Roman"/>
                <w:sz w:val="16"/>
                <w:szCs w:val="16"/>
              </w:rPr>
              <w:t xml:space="preserve"> postaci aplikacji uruchamianych na komputerach osobistych (PC) i obsługiwanych przy użyciu okularów VR oraz kontrolerów śledzących położenie i orientację w czasie rzeczywistym. </w:t>
            </w:r>
          </w:p>
        </w:tc>
        <w:tc>
          <w:tcPr>
            <w:tcW w:w="1843" w:type="dxa"/>
            <w:shd w:val="clear" w:color="auto" w:fill="9CC3E5"/>
          </w:tcPr>
          <w:p w14:paraId="6781CBD1" w14:textId="77777777" w:rsidR="008C20D3" w:rsidRDefault="00000000">
            <w:pPr>
              <w:spacing w:after="0" w:line="240" w:lineRule="auto"/>
              <w:jc w:val="center"/>
              <w:rPr>
                <w:rFonts w:ascii="Times New Roman" w:hAnsi="Times New Roman"/>
                <w:sz w:val="16"/>
                <w:szCs w:val="16"/>
              </w:rPr>
            </w:pPr>
            <w:r>
              <w:rPr>
                <w:rFonts w:ascii="Times New Roman" w:hAnsi="Times New Roman"/>
                <w:sz w:val="16"/>
                <w:szCs w:val="16"/>
              </w:rPr>
              <w:t>Cena netto pln</w:t>
            </w:r>
          </w:p>
        </w:tc>
        <w:tc>
          <w:tcPr>
            <w:tcW w:w="1985" w:type="dxa"/>
            <w:shd w:val="clear" w:color="auto" w:fill="9CC3E5"/>
          </w:tcPr>
          <w:p w14:paraId="7974F10E" w14:textId="77777777" w:rsidR="008C20D3" w:rsidRDefault="00000000">
            <w:pPr>
              <w:spacing w:after="0" w:line="240" w:lineRule="auto"/>
              <w:jc w:val="center"/>
              <w:rPr>
                <w:rFonts w:ascii="Times New Roman" w:hAnsi="Times New Roman"/>
                <w:sz w:val="16"/>
                <w:szCs w:val="16"/>
              </w:rPr>
            </w:pPr>
            <w:r>
              <w:rPr>
                <w:rFonts w:ascii="Times New Roman" w:hAnsi="Times New Roman"/>
                <w:sz w:val="16"/>
                <w:szCs w:val="16"/>
              </w:rPr>
              <w:t>Cena brutto pln</w:t>
            </w:r>
          </w:p>
        </w:tc>
        <w:tc>
          <w:tcPr>
            <w:tcW w:w="2403" w:type="dxa"/>
            <w:shd w:val="clear" w:color="auto" w:fill="9CC3E5"/>
          </w:tcPr>
          <w:p w14:paraId="1650A804" w14:textId="77777777" w:rsidR="008C20D3" w:rsidRDefault="00000000">
            <w:pPr>
              <w:spacing w:after="0" w:line="240" w:lineRule="auto"/>
              <w:jc w:val="both"/>
              <w:rPr>
                <w:rFonts w:ascii="Times New Roman" w:hAnsi="Times New Roman"/>
                <w:sz w:val="16"/>
                <w:szCs w:val="16"/>
              </w:rPr>
            </w:pPr>
            <w:bookmarkStart w:id="0" w:name="_heading=h.gjdgxs" w:colFirst="0" w:colLast="0"/>
            <w:bookmarkEnd w:id="0"/>
            <w:r>
              <w:rPr>
                <w:rFonts w:ascii="Times New Roman" w:hAnsi="Times New Roman"/>
                <w:sz w:val="16"/>
                <w:szCs w:val="16"/>
              </w:rPr>
              <w:t>Minimalny czas na stworzenie VR od otrzymania jego warunków do przekazania go do weryfikacji i odbioru przez ekspertów ORE (czas podany w tygodniach)</w:t>
            </w:r>
          </w:p>
        </w:tc>
      </w:tr>
      <w:tr w:rsidR="008C20D3" w14:paraId="3662A157" w14:textId="77777777">
        <w:tc>
          <w:tcPr>
            <w:tcW w:w="2835" w:type="dxa"/>
            <w:vMerge/>
            <w:shd w:val="clear" w:color="auto" w:fill="9CC3E5"/>
          </w:tcPr>
          <w:p w14:paraId="517B0234" w14:textId="77777777" w:rsidR="008C20D3" w:rsidRDefault="008C20D3">
            <w:pPr>
              <w:widowControl w:val="0"/>
              <w:pBdr>
                <w:top w:val="nil"/>
                <w:left w:val="nil"/>
                <w:bottom w:val="nil"/>
                <w:right w:val="nil"/>
                <w:between w:val="nil"/>
              </w:pBdr>
              <w:spacing w:after="0"/>
              <w:rPr>
                <w:rFonts w:ascii="Times New Roman" w:hAnsi="Times New Roman"/>
                <w:sz w:val="16"/>
                <w:szCs w:val="16"/>
              </w:rPr>
            </w:pPr>
          </w:p>
        </w:tc>
        <w:tc>
          <w:tcPr>
            <w:tcW w:w="1843" w:type="dxa"/>
          </w:tcPr>
          <w:p w14:paraId="7710537D" w14:textId="77777777" w:rsidR="008C20D3" w:rsidRDefault="008C20D3">
            <w:pPr>
              <w:spacing w:after="0" w:line="240" w:lineRule="auto"/>
              <w:jc w:val="both"/>
              <w:rPr>
                <w:rFonts w:ascii="Times New Roman" w:hAnsi="Times New Roman"/>
                <w:sz w:val="20"/>
                <w:szCs w:val="20"/>
              </w:rPr>
            </w:pPr>
          </w:p>
          <w:p w14:paraId="485FD101" w14:textId="77777777" w:rsidR="008C20D3" w:rsidRDefault="008C20D3">
            <w:pPr>
              <w:spacing w:after="0" w:line="240" w:lineRule="auto"/>
              <w:jc w:val="both"/>
              <w:rPr>
                <w:rFonts w:ascii="Times New Roman" w:hAnsi="Times New Roman"/>
                <w:sz w:val="20"/>
                <w:szCs w:val="20"/>
              </w:rPr>
            </w:pPr>
          </w:p>
          <w:p w14:paraId="1EE1F11A" w14:textId="77777777" w:rsidR="008C20D3" w:rsidRDefault="008C20D3">
            <w:pPr>
              <w:spacing w:after="0" w:line="240" w:lineRule="auto"/>
              <w:jc w:val="both"/>
              <w:rPr>
                <w:rFonts w:ascii="Times New Roman" w:hAnsi="Times New Roman"/>
                <w:sz w:val="20"/>
                <w:szCs w:val="20"/>
              </w:rPr>
            </w:pPr>
          </w:p>
          <w:p w14:paraId="5CEB2ED6" w14:textId="77777777" w:rsidR="008C20D3" w:rsidRDefault="008C20D3">
            <w:pPr>
              <w:spacing w:after="0" w:line="240" w:lineRule="auto"/>
              <w:jc w:val="both"/>
              <w:rPr>
                <w:rFonts w:ascii="Times New Roman" w:hAnsi="Times New Roman"/>
                <w:sz w:val="20"/>
                <w:szCs w:val="20"/>
              </w:rPr>
            </w:pPr>
          </w:p>
        </w:tc>
        <w:tc>
          <w:tcPr>
            <w:tcW w:w="1985" w:type="dxa"/>
          </w:tcPr>
          <w:p w14:paraId="4570B104" w14:textId="77777777" w:rsidR="008C20D3" w:rsidRDefault="008C20D3">
            <w:pPr>
              <w:spacing w:after="0" w:line="240" w:lineRule="auto"/>
              <w:jc w:val="both"/>
              <w:rPr>
                <w:rFonts w:ascii="Times New Roman" w:hAnsi="Times New Roman"/>
                <w:sz w:val="20"/>
                <w:szCs w:val="20"/>
              </w:rPr>
            </w:pPr>
          </w:p>
        </w:tc>
        <w:tc>
          <w:tcPr>
            <w:tcW w:w="2403" w:type="dxa"/>
          </w:tcPr>
          <w:p w14:paraId="0F43C82A" w14:textId="77777777" w:rsidR="008C20D3" w:rsidRDefault="008C20D3">
            <w:pPr>
              <w:spacing w:after="0" w:line="240" w:lineRule="auto"/>
              <w:jc w:val="both"/>
              <w:rPr>
                <w:rFonts w:ascii="Times New Roman" w:hAnsi="Times New Roman"/>
                <w:sz w:val="20"/>
                <w:szCs w:val="20"/>
              </w:rPr>
            </w:pPr>
          </w:p>
        </w:tc>
      </w:tr>
    </w:tbl>
    <w:p w14:paraId="00D45549" w14:textId="77777777" w:rsidR="008C20D3" w:rsidRDefault="008C20D3">
      <w:pPr>
        <w:spacing w:after="0" w:line="240" w:lineRule="auto"/>
        <w:jc w:val="both"/>
        <w:rPr>
          <w:rFonts w:ascii="Times New Roman" w:hAnsi="Times New Roman"/>
          <w:sz w:val="20"/>
          <w:szCs w:val="20"/>
        </w:rPr>
      </w:pPr>
    </w:p>
    <w:p w14:paraId="6CD87A5A"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Informujemy, że niniejszy formularz nie stanowi zapytania ofertowego w myśl przepisów ustawy prawo zamówień publicznych ani kodeksu cywilnego, służy jedynie rozpoznaniu rynku.</w:t>
      </w:r>
    </w:p>
    <w:p w14:paraId="47DACEAD" w14:textId="77777777" w:rsidR="008C20D3" w:rsidRDefault="008C20D3">
      <w:pPr>
        <w:spacing w:after="0" w:line="240" w:lineRule="auto"/>
        <w:jc w:val="both"/>
        <w:rPr>
          <w:rFonts w:ascii="Times New Roman" w:hAnsi="Times New Roman"/>
          <w:sz w:val="20"/>
          <w:szCs w:val="20"/>
        </w:rPr>
      </w:pPr>
    </w:p>
    <w:p w14:paraId="30378B28" w14:textId="77777777" w:rsidR="008C20D3" w:rsidRDefault="008C20D3">
      <w:pPr>
        <w:spacing w:after="0" w:line="240" w:lineRule="auto"/>
        <w:jc w:val="both"/>
        <w:rPr>
          <w:rFonts w:ascii="Times New Roman" w:hAnsi="Times New Roman"/>
          <w:sz w:val="20"/>
          <w:szCs w:val="20"/>
        </w:rPr>
      </w:pPr>
    </w:p>
    <w:p w14:paraId="5DE23BDF" w14:textId="77777777" w:rsidR="008C20D3" w:rsidRDefault="00000000">
      <w:pPr>
        <w:spacing w:after="0" w:line="240" w:lineRule="auto"/>
        <w:jc w:val="right"/>
        <w:rPr>
          <w:rFonts w:ascii="Times New Roman" w:hAnsi="Times New Roman"/>
          <w:sz w:val="20"/>
          <w:szCs w:val="20"/>
        </w:rPr>
      </w:pPr>
      <w:r>
        <w:rPr>
          <w:rFonts w:ascii="Times New Roman" w:hAnsi="Times New Roman"/>
          <w:sz w:val="20"/>
          <w:szCs w:val="20"/>
        </w:rPr>
        <w:t>Data, podpis………………………………………………………….</w:t>
      </w:r>
    </w:p>
    <w:p w14:paraId="4B1FB8A5" w14:textId="77777777" w:rsidR="008C20D3" w:rsidRDefault="008C20D3">
      <w:pPr>
        <w:spacing w:after="0" w:line="240" w:lineRule="auto"/>
        <w:jc w:val="both"/>
        <w:rPr>
          <w:rFonts w:ascii="Times New Roman" w:hAnsi="Times New Roman"/>
          <w:sz w:val="20"/>
          <w:szCs w:val="20"/>
        </w:rPr>
      </w:pPr>
    </w:p>
    <w:p w14:paraId="1AFB7B98" w14:textId="77777777" w:rsidR="008C20D3" w:rsidRDefault="008C20D3">
      <w:pPr>
        <w:spacing w:after="0" w:line="240" w:lineRule="auto"/>
        <w:jc w:val="both"/>
        <w:rPr>
          <w:rFonts w:ascii="Times New Roman" w:hAnsi="Times New Roman"/>
          <w:sz w:val="20"/>
          <w:szCs w:val="20"/>
        </w:rPr>
      </w:pPr>
    </w:p>
    <w:p w14:paraId="3CC12E0A" w14:textId="77777777" w:rsidR="008C20D3" w:rsidRDefault="008C20D3">
      <w:pPr>
        <w:spacing w:after="0" w:line="240" w:lineRule="auto"/>
        <w:jc w:val="both"/>
        <w:rPr>
          <w:rFonts w:ascii="Times New Roman" w:hAnsi="Times New Roman"/>
          <w:sz w:val="20"/>
          <w:szCs w:val="20"/>
        </w:rPr>
      </w:pPr>
    </w:p>
    <w:p w14:paraId="5A101BD5"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Klauzula informacyjna:</w:t>
      </w:r>
    </w:p>
    <w:p w14:paraId="3708B14A"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Zgodnie z art. 13 ust. 1 i 2 rozporządzenia Parlamentu Europejskiego i Rady (UE) 2016/679 z dnia 27 kwietnia 2016 r. (Dz. Urz. UE L 119 z 04.05.2016 r.), dalej „RODO”, Ośrodek Rozwoju Edukacji w Warszawie informuje, że:</w:t>
      </w:r>
    </w:p>
    <w:p w14:paraId="638647D6"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1. Administratorem państwa danych osobowych jest Ośrodek Rozwoju Edukacji z siedzibą</w:t>
      </w:r>
    </w:p>
    <w:p w14:paraId="317EC26C"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w Warszawie (00-478), Aleje Ujazdowskie 28, e-mail: sekretariat@ore.edu.pl, tel. 22 345 37 00;</w:t>
      </w:r>
    </w:p>
    <w:p w14:paraId="66F56F5D"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2. Administrator wyznaczył inspektora ochrony danych, z którym można się skontaktować poprzez e-mail: iod@ore.edu.pl lub pisemnie przekazując korespondencję na adres siedziby Administratora wskazany w punkcie 1.</w:t>
      </w:r>
    </w:p>
    <w:p w14:paraId="70BE4396"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3. Państwa dane osobowe przetwarzane będą w celu realizacji zadań powierzonych beneficjentowi w związku z realizacją Programu Fundusze Europejskie dla Rozwoju Społecznego 2021-2027, w zakresie w jakim jest to niezbędne dla realizacji tego projektu, a w szczególności:</w:t>
      </w:r>
    </w:p>
    <w:p w14:paraId="4E33B48C"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a) potwierdzania kwalifikowalności wydatków,</w:t>
      </w:r>
    </w:p>
    <w:p w14:paraId="30A23DCB"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b) wnioskowania o płatności do Komisji Europejskiej,</w:t>
      </w:r>
    </w:p>
    <w:p w14:paraId="5B2973E7"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c) raportowania o nieprawidłowościach,</w:t>
      </w:r>
    </w:p>
    <w:p w14:paraId="605058FB"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d) ewaluacji,</w:t>
      </w:r>
    </w:p>
    <w:p w14:paraId="05727CE3"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e) monitoringu,</w:t>
      </w:r>
    </w:p>
    <w:p w14:paraId="142DD2EE"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f) kontroli,</w:t>
      </w:r>
    </w:p>
    <w:p w14:paraId="3D01AC5C"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g) audytu,</w:t>
      </w:r>
    </w:p>
    <w:p w14:paraId="043E0C3C"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h) sprawozdawczości,</w:t>
      </w:r>
    </w:p>
    <w:p w14:paraId="5B67FFDC"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i) działań informacyjno-promocyjnych.</w:t>
      </w:r>
    </w:p>
    <w:p w14:paraId="3FCF7F40"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4. Podstawą prawną przetwarzania danych jest konieczność realizacji obowiązków spoczywających na Administratorze (art. 6 ust. 1. lit. c oraz art. 9 ust. 2 lit. g RODO), ustawy z dnia 28 kwietnia 2022 r. o zasadach realizacji zadań finansowanych ze środków europejskich w perspektywie finansowej 2021-2027 oraz przepisów prawa europejskiego i</w:t>
      </w:r>
    </w:p>
    <w:p w14:paraId="16519C69"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krajowego:</w:t>
      </w:r>
    </w:p>
    <w:p w14:paraId="53EA19AC"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lastRenderedPageBreak/>
        <w:t>a) 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lntegracji, Funduszu Bezpieczeństwa Wewnętrznego i lnstrumentu Wsparcia Finansowego na rzecz Zarządzania Granicami i Polityki Wizowej,</w:t>
      </w:r>
    </w:p>
    <w:p w14:paraId="56E7B7CC"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b) rozporządzenie Parlamentu Europejskiego i Rady (UE)2021/1057 z dnia 24 czerwca 2021 r. ustanawiające Europejski Fundusz Społeczny Plus (EFS+) oraz uchylające rozporządzenie (UE) nr 1296/2013 (Dz. Urz. UE L 231 z 30.06.2021, str.21, z późn. zm.),</w:t>
      </w:r>
    </w:p>
    <w:p w14:paraId="1282DE8F"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c) ustawa z dnia 28 kwietnia 2022r. o zasadach realizacji zadań finansowanych ze środków europejskich w perspektywie finansowej 2027-2027, w szczególności art. 87-93,</w:t>
      </w:r>
    </w:p>
    <w:p w14:paraId="41A0D86F"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d) ustawa z 14 czerwca 1960 r. - Kodeks postępowania administracyjnego,</w:t>
      </w:r>
    </w:p>
    <w:p w14:paraId="529BF4E9"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e) ustawa z 27 sierpnia 2009 r. o finansach publicznych.</w:t>
      </w:r>
    </w:p>
    <w:p w14:paraId="440F7FA3"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5. Podanie danych jest niezbędne do realizacji celu, o którym mowa w pkt. 3. Konsekwencje niepodania danych osobowych wynikają z przepisów prawa w tym uniemożliwiają udział w projekcie realizowanym w ramach Programu Fundusze Europejskie dla Rozwoju Społecznego 2021-2027.</w:t>
      </w:r>
    </w:p>
    <w:p w14:paraId="21A066C2"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6. Państwa dane osobowe mogą zostać również powierzone specjalistycznym firmom, realizującym na zlecenie Instytucji Zarządzającej lub pośredniczącej ewaluacje, kontrole i audyt w ramach Programu Fundusze Europejskie dla Rozwoju Społecznego 2021-2027.</w:t>
      </w:r>
    </w:p>
    <w:p w14:paraId="2192F273"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7. Odbiorcami państwa danych osobowych mogą być:</w:t>
      </w:r>
    </w:p>
    <w:p w14:paraId="1D6BF4AE"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a) podmioty, którym Administrator lub odrębni administratorzy powierzyli wykonywanie zadań związanych z realizacją Programu, a także eksperci, podmioty prowadzące audyty, kontrole, szkolenia i ewaluacje,</w:t>
      </w:r>
    </w:p>
    <w:p w14:paraId="519674F3"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b) instytucje, organy i agencje Unii Europejskiej (UE), a także inne podmioty, którym UE powierzyła wykonywanie zadań związanych z wdrażaniem Programu Fundusze Europejskie dla Rozwoju Społecznego 2021-2027,</w:t>
      </w:r>
    </w:p>
    <w:p w14:paraId="141181E5"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c) podmioty świadczące na rzecz Ministra usługi związane z obsługą i rozwojem systemów teleinformatycznych oraz zapewnieniem łączności, w szczególności dostawcy rozwiązań IT i operatorzy telekomunikacyjni.</w:t>
      </w:r>
    </w:p>
    <w:p w14:paraId="7EB0EC14"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8. Dane osobowe będą przechowywane przez okres wskazany w art. 140 ust. 1 rozporządzenia Parlamentu Europejskiego i Rady (UE) nr 1303/2013 z dnia 17 grudnia 2013 r. W niektórych przypadkach, np. prowadzenia kontroli u Administratora przez organy Unii Europejskiej, okres ten może zostać wydłużony.</w:t>
      </w:r>
    </w:p>
    <w:p w14:paraId="645DBCD1"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9. Państwa dane osobowe nie będą podlegały zautomatyzowanemu podejmowaniu decyzji i nie będą profilowane.</w:t>
      </w:r>
    </w:p>
    <w:p w14:paraId="7B217A02"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10. Państwa dane osobowe nie będą przekazywane do państwa trzeciego.</w:t>
      </w:r>
    </w:p>
    <w:p w14:paraId="4E52A7FF" w14:textId="77777777" w:rsidR="008C20D3" w:rsidRDefault="00000000">
      <w:pPr>
        <w:spacing w:after="0" w:line="240" w:lineRule="auto"/>
        <w:jc w:val="both"/>
        <w:rPr>
          <w:rFonts w:ascii="Times New Roman" w:hAnsi="Times New Roman"/>
          <w:sz w:val="20"/>
          <w:szCs w:val="20"/>
        </w:rPr>
      </w:pPr>
      <w:r>
        <w:rPr>
          <w:rFonts w:ascii="Times New Roman" w:hAnsi="Times New Roman"/>
          <w:sz w:val="20"/>
          <w:szCs w:val="20"/>
        </w:rPr>
        <w:t>11. W związku z przetwarzaniem Państwa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w:t>
      </w:r>
    </w:p>
    <w:p w14:paraId="5403B27C" w14:textId="77777777" w:rsidR="008C20D3" w:rsidRDefault="008C20D3">
      <w:pPr>
        <w:spacing w:after="0" w:line="240" w:lineRule="auto"/>
        <w:jc w:val="both"/>
        <w:rPr>
          <w:rFonts w:ascii="Times New Roman" w:hAnsi="Times New Roman"/>
          <w:sz w:val="20"/>
          <w:szCs w:val="20"/>
        </w:rPr>
      </w:pPr>
    </w:p>
    <w:sectPr w:rsidR="008C20D3">
      <w:headerReference w:type="default" r:id="rId7"/>
      <w:footerReference w:type="default" r:id="rId8"/>
      <w:pgSz w:w="11906" w:h="16838"/>
      <w:pgMar w:top="1134" w:right="1134" w:bottom="1560" w:left="1134" w:header="709" w:footer="47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BADD0" w14:textId="77777777" w:rsidR="00067AC1" w:rsidRDefault="00067AC1">
      <w:pPr>
        <w:spacing w:after="0" w:line="240" w:lineRule="auto"/>
      </w:pPr>
      <w:r>
        <w:separator/>
      </w:r>
    </w:p>
  </w:endnote>
  <w:endnote w:type="continuationSeparator" w:id="0">
    <w:p w14:paraId="4781AB15" w14:textId="77777777" w:rsidR="00067AC1" w:rsidRDefault="0006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D88A" w14:textId="77777777" w:rsidR="008C20D3" w:rsidRDefault="00000000">
    <w:pPr>
      <w:pBdr>
        <w:top w:val="nil"/>
        <w:left w:val="nil"/>
        <w:bottom w:val="nil"/>
        <w:right w:val="nil"/>
        <w:between w:val="nil"/>
      </w:pBdr>
      <w:tabs>
        <w:tab w:val="center" w:pos="4536"/>
        <w:tab w:val="right" w:pos="9072"/>
      </w:tabs>
      <w:spacing w:after="0" w:line="240" w:lineRule="auto"/>
      <w:jc w:val="right"/>
      <w:rPr>
        <w:rFonts w:eastAsia="Calibri" w:cs="Calibri"/>
        <w:color w:val="000000"/>
      </w:rPr>
    </w:pPr>
    <w:r>
      <w:rPr>
        <w:noProof/>
      </w:rPr>
      <w:drawing>
        <wp:anchor distT="0" distB="0" distL="0" distR="0" simplePos="0" relativeHeight="251658240" behindDoc="1" locked="0" layoutInCell="1" hidden="0" allowOverlap="1" wp14:anchorId="76B35648" wp14:editId="590211CC">
          <wp:simplePos x="0" y="0"/>
          <wp:positionH relativeFrom="column">
            <wp:posOffset>0</wp:posOffset>
          </wp:positionH>
          <wp:positionV relativeFrom="paragraph">
            <wp:posOffset>52705</wp:posOffset>
          </wp:positionV>
          <wp:extent cx="5765800" cy="768350"/>
          <wp:effectExtent l="0" t="0" r="0" b="0"/>
          <wp:wrapNone/>
          <wp:docPr id="71" name="image1.png" descr="https://lh3.googleusercontent.com/kVOpI4xqXgq42ampgtmEm5mBUVK1HFLiVlXQXarvzOK_sSLZFlclcR_O1goN3xitK0aPq-uus4pjW_bonQv6O65tZIaJOp7JCdRO6RZhJMcPWRR_m5lurv3aJfawwTiPkj6FvTWAF0BFiWxwoviWSg"/>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kVOpI4xqXgq42ampgtmEm5mBUVK1HFLiVlXQXarvzOK_sSLZFlclcR_O1goN3xitK0aPq-uus4pjW_bonQv6O65tZIaJOp7JCdRO6RZhJMcPWRR_m5lurv3aJfawwTiPkj6FvTWAF0BFiWxwoviWSg"/>
                  <pic:cNvPicPr preferRelativeResize="0"/>
                </pic:nvPicPr>
                <pic:blipFill>
                  <a:blip r:embed="rId1"/>
                  <a:srcRect/>
                  <a:stretch>
                    <a:fillRect/>
                  </a:stretch>
                </pic:blipFill>
                <pic:spPr>
                  <a:xfrm>
                    <a:off x="0" y="0"/>
                    <a:ext cx="5765800" cy="768350"/>
                  </a:xfrm>
                  <a:prstGeom prst="rect">
                    <a:avLst/>
                  </a:prstGeom>
                  <a:ln/>
                </pic:spPr>
              </pic:pic>
            </a:graphicData>
          </a:graphic>
        </wp:anchor>
      </w:drawing>
    </w:r>
  </w:p>
  <w:p w14:paraId="2312EC0B" w14:textId="77777777" w:rsidR="008C20D3" w:rsidRDefault="008C20D3">
    <w:pPr>
      <w:pBdr>
        <w:top w:val="nil"/>
        <w:left w:val="nil"/>
        <w:bottom w:val="nil"/>
        <w:right w:val="nil"/>
        <w:between w:val="nil"/>
      </w:pBdr>
      <w:tabs>
        <w:tab w:val="center" w:pos="4536"/>
        <w:tab w:val="right" w:pos="9072"/>
      </w:tabs>
      <w:spacing w:after="0" w:line="240" w:lineRule="auto"/>
      <w:jc w:val="right"/>
      <w:rPr>
        <w:rFonts w:eastAsia="Calibri" w:cs="Calibri"/>
        <w:color w:val="000000"/>
      </w:rPr>
    </w:pPr>
  </w:p>
  <w:p w14:paraId="27F62788" w14:textId="77777777" w:rsidR="008C20D3" w:rsidRDefault="00000000">
    <w:pPr>
      <w:pBdr>
        <w:top w:val="nil"/>
        <w:left w:val="nil"/>
        <w:bottom w:val="nil"/>
        <w:right w:val="nil"/>
        <w:between w:val="nil"/>
      </w:pBdr>
      <w:tabs>
        <w:tab w:val="center" w:pos="4536"/>
        <w:tab w:val="right" w:pos="9072"/>
        <w:tab w:val="left" w:pos="615"/>
        <w:tab w:val="right" w:pos="9638"/>
      </w:tabs>
      <w:spacing w:after="0" w:line="240" w:lineRule="auto"/>
      <w:rPr>
        <w:rFonts w:eastAsia="Calibri" w:cs="Calibri"/>
        <w:color w:val="000000"/>
      </w:rPr>
    </w:pPr>
    <w:r>
      <w:rPr>
        <w:rFonts w:eastAsia="Calibri" w:cs="Calibri"/>
        <w:color w:val="000000"/>
      </w:rPr>
      <w:tab/>
    </w:r>
    <w:r>
      <w:rPr>
        <w:rFonts w:eastAsia="Calibri" w:cs="Calibri"/>
        <w:color w:val="000000"/>
      </w:rPr>
      <w:tab/>
    </w:r>
    <w:r>
      <w:rPr>
        <w:rFonts w:eastAsia="Calibri" w:cs="Calibri"/>
        <w:color w:val="000000"/>
      </w:rPr>
      <w:tab/>
    </w:r>
    <w:r>
      <w:rPr>
        <w:rFonts w:eastAsia="Calibri" w:cs="Calibri"/>
        <w:color w:val="000000"/>
      </w:rPr>
      <w:tab/>
    </w: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1C1F16">
      <w:rPr>
        <w:rFonts w:eastAsia="Calibri" w:cs="Calibri"/>
        <w:noProof/>
        <w:color w:val="000000"/>
      </w:rPr>
      <w:t>1</w:t>
    </w:r>
    <w:r>
      <w:rPr>
        <w:rFonts w:eastAsia="Calibri" w:cs="Calibri"/>
        <w:color w:val="000000"/>
      </w:rPr>
      <w:fldChar w:fldCharType="end"/>
    </w:r>
  </w:p>
  <w:p w14:paraId="29575577" w14:textId="77777777" w:rsidR="008C20D3" w:rsidRDefault="00000000">
    <w:pPr>
      <w:pBdr>
        <w:top w:val="nil"/>
        <w:left w:val="nil"/>
        <w:bottom w:val="nil"/>
        <w:right w:val="nil"/>
        <w:between w:val="nil"/>
      </w:pBdr>
      <w:tabs>
        <w:tab w:val="center" w:pos="4536"/>
        <w:tab w:val="right" w:pos="9072"/>
        <w:tab w:val="left" w:pos="4125"/>
      </w:tabs>
      <w:spacing w:after="0" w:line="240" w:lineRule="auto"/>
      <w:rPr>
        <w:rFonts w:eastAsia="Calibri" w:cs="Calibri"/>
        <w:color w:val="000000"/>
      </w:rPr>
    </w:pPr>
    <w:r>
      <w:rPr>
        <w:rFonts w:eastAsia="Calibri"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115F8" w14:textId="77777777" w:rsidR="00067AC1" w:rsidRDefault="00067AC1">
      <w:pPr>
        <w:spacing w:after="0" w:line="240" w:lineRule="auto"/>
      </w:pPr>
      <w:r>
        <w:separator/>
      </w:r>
    </w:p>
  </w:footnote>
  <w:footnote w:type="continuationSeparator" w:id="0">
    <w:p w14:paraId="1712DE55" w14:textId="77777777" w:rsidR="00067AC1" w:rsidRDefault="00067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12517" w14:textId="77777777" w:rsidR="008C20D3" w:rsidRDefault="00000000">
    <w:pPr>
      <w:pBdr>
        <w:top w:val="nil"/>
        <w:left w:val="nil"/>
        <w:bottom w:val="nil"/>
        <w:right w:val="nil"/>
        <w:between w:val="nil"/>
      </w:pBdr>
      <w:tabs>
        <w:tab w:val="center" w:pos="4536"/>
        <w:tab w:val="right" w:pos="9072"/>
      </w:tabs>
      <w:spacing w:after="0" w:line="240" w:lineRule="auto"/>
      <w:rPr>
        <w:rFonts w:eastAsia="Calibri" w:cs="Calibri"/>
        <w:color w:val="000000"/>
      </w:rPr>
    </w:pPr>
    <w:r>
      <w:rPr>
        <w:rFonts w:eastAsia="Calibri" w:cs="Calibri"/>
        <w:noProof/>
        <w:color w:val="000000"/>
      </w:rPr>
      <w:drawing>
        <wp:inline distT="0" distB="0" distL="0" distR="0" wp14:anchorId="43EA4569" wp14:editId="0D75AE7B">
          <wp:extent cx="2707005" cy="438785"/>
          <wp:effectExtent l="0" t="0" r="0" b="0"/>
          <wp:docPr id="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07005" cy="43878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D3"/>
    <w:rsid w:val="00067AC1"/>
    <w:rsid w:val="001C1F16"/>
    <w:rsid w:val="008C20D3"/>
    <w:rsid w:val="00BE12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7E80735"/>
  <w15:docId w15:val="{A2D194F3-1EF2-8443-980A-6729EB83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074D"/>
    <w:rPr>
      <w:rFonts w:eastAsia="Times New Roman"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8007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074D"/>
    <w:rPr>
      <w:rFonts w:ascii="Calibri" w:eastAsia="Times New Roman" w:hAnsi="Calibri" w:cs="Times New Roman"/>
      <w:lang w:eastAsia="pl-PL"/>
    </w:rPr>
  </w:style>
  <w:style w:type="paragraph" w:styleId="Stopka">
    <w:name w:val="footer"/>
    <w:basedOn w:val="Normalny"/>
    <w:link w:val="StopkaZnak"/>
    <w:uiPriority w:val="99"/>
    <w:unhideWhenUsed/>
    <w:rsid w:val="008007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074D"/>
    <w:rPr>
      <w:rFonts w:ascii="Calibri" w:eastAsia="Times New Roman" w:hAnsi="Calibri" w:cs="Times New Roman"/>
      <w:lang w:eastAsia="pl-PL"/>
    </w:rPr>
  </w:style>
  <w:style w:type="paragraph" w:customStyle="1" w:styleId="menfont">
    <w:name w:val="men font"/>
    <w:basedOn w:val="Normalny"/>
    <w:rsid w:val="0080074D"/>
    <w:pPr>
      <w:spacing w:after="0" w:line="240" w:lineRule="auto"/>
    </w:pPr>
    <w:rPr>
      <w:rFonts w:ascii="Arial" w:hAnsi="Arial" w:cs="Arial"/>
      <w:sz w:val="24"/>
      <w:szCs w:val="24"/>
    </w:rPr>
  </w:style>
  <w:style w:type="paragraph" w:styleId="Akapitzlist">
    <w:name w:val="List Paragraph"/>
    <w:basedOn w:val="Normalny"/>
    <w:uiPriority w:val="99"/>
    <w:qFormat/>
    <w:rsid w:val="00D9126C"/>
    <w:pPr>
      <w:ind w:left="720"/>
      <w:contextualSpacing/>
    </w:pPr>
  </w:style>
  <w:style w:type="table" w:styleId="Tabela-Siatka">
    <w:name w:val="Table Grid"/>
    <w:basedOn w:val="Standardowy"/>
    <w:uiPriority w:val="39"/>
    <w:rsid w:val="00E4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C97DB2"/>
    <w:pPr>
      <w:spacing w:before="100" w:beforeAutospacing="1" w:after="100" w:afterAutospacing="1" w:line="240" w:lineRule="auto"/>
    </w:pPr>
    <w:rPr>
      <w:rFonts w:ascii="Times New Roman" w:hAnsi="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GmHwWy6j2WiVtAhrhvRh4I0m/Q==">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5318</Characters>
  <Application>Microsoft Office Word</Application>
  <DocSecurity>0</DocSecurity>
  <Lines>279</Lines>
  <Paragraphs>154</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Rutkowska</dc:creator>
  <cp:lastModifiedBy>Przybyłowski Grzegorz</cp:lastModifiedBy>
  <cp:revision>2</cp:revision>
  <dcterms:created xsi:type="dcterms:W3CDTF">2024-09-20T09:46:00Z</dcterms:created>
  <dcterms:modified xsi:type="dcterms:W3CDTF">2024-10-15T13:20:00Z</dcterms:modified>
</cp:coreProperties>
</file>