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15" w:rsidRDefault="000B6988" w:rsidP="00D56CDB">
      <w:pPr>
        <w:spacing w:after="0"/>
        <w:ind w:left="52" w:firstLine="0"/>
        <w:jc w:val="right"/>
        <w:rPr>
          <w:i/>
        </w:rPr>
      </w:pPr>
      <w:r w:rsidRPr="00D56CDB">
        <w:rPr>
          <w:i/>
        </w:rPr>
        <w:t>Załącznik nr 5</w:t>
      </w:r>
      <w:r w:rsidR="00D56CDB" w:rsidRPr="00D56CDB">
        <w:rPr>
          <w:i/>
        </w:rPr>
        <w:t xml:space="preserve"> do opisu przedmiotu zamówienia </w:t>
      </w:r>
    </w:p>
    <w:p w:rsidR="00D56CDB" w:rsidRPr="00D56CDB" w:rsidRDefault="00D56CDB" w:rsidP="00D56CDB">
      <w:pPr>
        <w:spacing w:after="0"/>
        <w:ind w:left="52" w:firstLine="0"/>
        <w:jc w:val="right"/>
        <w:rPr>
          <w:i/>
        </w:rPr>
      </w:pPr>
      <w:bookmarkStart w:id="0" w:name="_GoBack"/>
      <w:bookmarkEnd w:id="0"/>
    </w:p>
    <w:p w:rsidR="00CF4F15" w:rsidRDefault="009C301A">
      <w:pPr>
        <w:spacing w:after="0"/>
        <w:ind w:left="10" w:firstLine="0"/>
        <w:jc w:val="center"/>
      </w:pPr>
      <w:r>
        <w:rPr>
          <w:b/>
        </w:rPr>
        <w:t xml:space="preserve"> </w:t>
      </w:r>
    </w:p>
    <w:p w:rsidR="00CF4F15" w:rsidRDefault="009C301A">
      <w:pPr>
        <w:spacing w:after="60" w:line="239" w:lineRule="auto"/>
        <w:ind w:left="2597" w:right="2587" w:firstLine="0"/>
        <w:jc w:val="center"/>
      </w:pPr>
      <w:r>
        <w:rPr>
          <w:b/>
        </w:rPr>
        <w:t xml:space="preserve">STANDARD TECHNICZNO – GRAFICZNY  </w:t>
      </w:r>
    </w:p>
    <w:p w:rsidR="00CF4F15" w:rsidRDefault="009C301A">
      <w:pPr>
        <w:spacing w:after="28" w:line="364" w:lineRule="auto"/>
        <w:ind w:left="499" w:hanging="353"/>
        <w:jc w:val="left"/>
      </w:pPr>
      <w:r>
        <w:rPr>
          <w:b/>
          <w:sz w:val="16"/>
        </w:rPr>
        <w:t xml:space="preserve">do projektów konkursowych dotyczących tworzenia zestawów narzędzi edukacyjnych, scenariuszy lekcji i zajęć dla każdego etapu edukacyjnego pod kątem: rozwijania u uczniów kompetencji kluczowych oraz umiejętności </w:t>
      </w:r>
    </w:p>
    <w:p w:rsidR="00CF4F15" w:rsidRDefault="009C301A">
      <w:pPr>
        <w:spacing w:after="194"/>
        <w:ind w:left="0" w:right="52" w:firstLine="0"/>
        <w:jc w:val="center"/>
      </w:pPr>
      <w:r>
        <w:rPr>
          <w:b/>
          <w:sz w:val="16"/>
        </w:rPr>
        <w:t xml:space="preserve">uniwersalnych, jak również nauczania eksperymentalnego, z uwzględnieniem indywidualnych potrzeb uczniów. </w:t>
      </w:r>
    </w:p>
    <w:p w:rsidR="00CF4F15" w:rsidRDefault="009C301A">
      <w:pPr>
        <w:spacing w:after="185"/>
        <w:ind w:left="0" w:firstLine="0"/>
        <w:jc w:val="left"/>
      </w:pPr>
      <w:r>
        <w:t xml:space="preserve"> </w:t>
      </w:r>
    </w:p>
    <w:p w:rsidR="00CF4F15" w:rsidRDefault="009C301A">
      <w:pPr>
        <w:numPr>
          <w:ilvl w:val="0"/>
          <w:numId w:val="1"/>
        </w:numPr>
        <w:spacing w:after="106" w:line="331" w:lineRule="auto"/>
        <w:ind w:hanging="360"/>
        <w:jc w:val="left"/>
      </w:pPr>
      <w:r>
        <w:rPr>
          <w:b/>
        </w:rPr>
        <w:t xml:space="preserve">Redakcja tekstu i korekta językowa wszystkich opracowanych przez Beneficjenta narzędzi wchodzących w skład zestawów narzędzi edukacyjnych.  </w:t>
      </w:r>
    </w:p>
    <w:p w:rsidR="00CF4F15" w:rsidRDefault="009C301A">
      <w:pPr>
        <w:spacing w:after="188"/>
        <w:ind w:left="52" w:right="38" w:firstLine="0"/>
      </w:pPr>
      <w:r>
        <w:t xml:space="preserve">Beneficjent jest zobligowany do redakcji tekstu i korekty językowej pod względem: </w:t>
      </w:r>
    </w:p>
    <w:p w:rsidR="00CF4F15" w:rsidRDefault="009C301A">
      <w:pPr>
        <w:numPr>
          <w:ilvl w:val="1"/>
          <w:numId w:val="1"/>
        </w:numPr>
        <w:spacing w:after="43"/>
        <w:ind w:right="38" w:hanging="360"/>
      </w:pPr>
      <w:r>
        <w:t xml:space="preserve">stylistycznym, w szczególności redakcji i korekty błędów ortograficznych, interpunkcyjnych, gramatycznych, literówek, błędów językowych i powtórzeń, stylu zadań, szyku zdań i weryfikacji logicznej zadań, </w:t>
      </w:r>
    </w:p>
    <w:p w:rsidR="00CF4F15" w:rsidRDefault="009C301A">
      <w:pPr>
        <w:numPr>
          <w:ilvl w:val="1"/>
          <w:numId w:val="1"/>
        </w:numPr>
        <w:spacing w:after="53"/>
        <w:ind w:right="38" w:hanging="360"/>
      </w:pPr>
      <w:r>
        <w:t xml:space="preserve">kompozycyjnym, </w:t>
      </w:r>
    </w:p>
    <w:p w:rsidR="00CF4F15" w:rsidRDefault="009C301A">
      <w:pPr>
        <w:numPr>
          <w:ilvl w:val="1"/>
          <w:numId w:val="1"/>
        </w:numPr>
        <w:spacing w:after="349"/>
        <w:ind w:right="38" w:hanging="360"/>
      </w:pPr>
      <w:r>
        <w:t xml:space="preserve">z naniesieniem ewentualnych poprawek i zaleceń również merytorycznych przez Ekspertów merytorycznych, wnoszonych zgodnie z harmonogramem realizacji projektu.  </w:t>
      </w:r>
    </w:p>
    <w:p w:rsidR="00CF4F15" w:rsidRDefault="009C301A">
      <w:pPr>
        <w:numPr>
          <w:ilvl w:val="0"/>
          <w:numId w:val="1"/>
        </w:numPr>
        <w:spacing w:after="0" w:line="331" w:lineRule="auto"/>
        <w:ind w:hanging="360"/>
        <w:jc w:val="left"/>
      </w:pPr>
      <w:r>
        <w:rPr>
          <w:b/>
        </w:rPr>
        <w:t xml:space="preserve">Opracowanie graficzne wszystkich opracowanych przez Beneficjenta narzędzi wchodzących w skład zestawów narzędzi edukacyjnych </w:t>
      </w:r>
    </w:p>
    <w:p w:rsidR="00CF4F15" w:rsidRDefault="009C301A">
      <w:pPr>
        <w:spacing w:after="62"/>
        <w:ind w:left="720" w:firstLine="0"/>
        <w:jc w:val="left"/>
      </w:pPr>
      <w:r>
        <w:rPr>
          <w:b/>
        </w:rPr>
        <w:t xml:space="preserve"> </w:t>
      </w:r>
    </w:p>
    <w:p w:rsidR="00CF4F15" w:rsidRDefault="009C301A">
      <w:pPr>
        <w:numPr>
          <w:ilvl w:val="0"/>
          <w:numId w:val="2"/>
        </w:numPr>
        <w:spacing w:after="47"/>
        <w:ind w:right="38" w:hanging="360"/>
      </w:pPr>
      <w:r>
        <w:t xml:space="preserve">Beneficjent zobowiązuje się do opracowania i przygotowania projektu graficznego dla wszystkich opracowanych przez siebie materiałów, o których mowa powyżej, w tym wyboru i obróbki zdjęć wraz z zakupem elementów graficznych, zdjęć (co najmniej na okładki stworzonych przez siebie opracowań), z zachowaniem podziału na poszczególne opracowania wchodzące w skład każdego z zestawów narzędzi edukacyjnych na: </w:t>
      </w:r>
    </w:p>
    <w:p w:rsidR="00CF4F15" w:rsidRDefault="009C301A">
      <w:pPr>
        <w:numPr>
          <w:ilvl w:val="1"/>
          <w:numId w:val="2"/>
        </w:numPr>
        <w:spacing w:after="36"/>
        <w:ind w:right="38" w:hanging="360"/>
      </w:pPr>
      <w:r>
        <w:t xml:space="preserve">Poradnik metodyczny </w:t>
      </w:r>
    </w:p>
    <w:p w:rsidR="00CF4F15" w:rsidRDefault="009C301A">
      <w:pPr>
        <w:numPr>
          <w:ilvl w:val="1"/>
          <w:numId w:val="2"/>
        </w:numPr>
        <w:spacing w:after="36"/>
        <w:ind w:right="38" w:hanging="360"/>
      </w:pPr>
      <w:r>
        <w:t xml:space="preserve">Przykładowe scenariusze zajęć/lekcji (każdy oddzielnie) </w:t>
      </w:r>
    </w:p>
    <w:p w:rsidR="00CF4F15" w:rsidRDefault="009C301A">
      <w:pPr>
        <w:numPr>
          <w:ilvl w:val="1"/>
          <w:numId w:val="2"/>
        </w:numPr>
        <w:ind w:right="38" w:hanging="360"/>
      </w:pPr>
      <w:r>
        <w:t xml:space="preserve">Scenariusze interdyscyplinarnych projektów edukacyjnych (każdy oddzielnie) </w:t>
      </w:r>
    </w:p>
    <w:p w:rsidR="00CF4F15" w:rsidRDefault="009C301A">
      <w:pPr>
        <w:numPr>
          <w:ilvl w:val="1"/>
          <w:numId w:val="2"/>
        </w:numPr>
        <w:spacing w:line="332" w:lineRule="auto"/>
        <w:ind w:right="38" w:hanging="360"/>
      </w:pPr>
      <w:r>
        <w:t xml:space="preserve">Narzędzia pomiaru dydaktycznego oraz narzędzia do ewaluacji kompetencji kluczowych  i umiejętności uniwersalnych </w:t>
      </w:r>
    </w:p>
    <w:p w:rsidR="00CF4F15" w:rsidRDefault="009C301A">
      <w:pPr>
        <w:spacing w:after="65"/>
        <w:ind w:left="852" w:firstLine="0"/>
        <w:jc w:val="left"/>
      </w:pPr>
      <w:r>
        <w:t xml:space="preserve"> </w:t>
      </w:r>
    </w:p>
    <w:p w:rsidR="00CF4F15" w:rsidRDefault="009C301A">
      <w:pPr>
        <w:numPr>
          <w:ilvl w:val="0"/>
          <w:numId w:val="2"/>
        </w:numPr>
        <w:spacing w:after="59"/>
        <w:ind w:right="38" w:hanging="360"/>
      </w:pPr>
      <w:r>
        <w:t xml:space="preserve">Powyższe opracowania powinny nawiązywać do charakteru, stylu, kolorystyki i specyfiki graficznej programów nauczania i innych materiałów opracowanych w ramach projektu pozakonkursowego pn. </w:t>
      </w:r>
      <w:r>
        <w:rPr>
          <w:i/>
        </w:rPr>
        <w:t xml:space="preserve">Tworzenie programów nauczania oraz scenariuszy lekcji i zajęć wchodzących w skład zestawów narzędzi edukacyjnych wspierających proces kształcenia ogólnego w zakresie kompetencji kluczowych uczniów niezbędnych do poruszania się na rynku pracy, </w:t>
      </w:r>
      <w:r>
        <w:t xml:space="preserve">zmieszczonych pod linkiem (należy wstawić ścieżkę dostępu).  </w:t>
      </w:r>
    </w:p>
    <w:p w:rsidR="00CF4F15" w:rsidRDefault="009C301A">
      <w:pPr>
        <w:numPr>
          <w:ilvl w:val="0"/>
          <w:numId w:val="2"/>
        </w:numPr>
        <w:spacing w:line="320" w:lineRule="auto"/>
        <w:ind w:right="38" w:hanging="360"/>
      </w:pPr>
      <w:r>
        <w:t xml:space="preserve">Przygotowane materiały winny być autorskie, a wszystkie materiały (grafika, zdjęcia) wykorzystane w opracowaniach powinny posiadać uregulowane majątkowe prawa autorskie, które Beneficjent przekaże na zasadach określonych w Regulaminie konkursu. </w:t>
      </w:r>
    </w:p>
    <w:p w:rsidR="00CF4F15" w:rsidRDefault="009C301A">
      <w:pPr>
        <w:numPr>
          <w:ilvl w:val="0"/>
          <w:numId w:val="2"/>
        </w:numPr>
        <w:spacing w:after="68"/>
        <w:ind w:right="38" w:hanging="360"/>
      </w:pPr>
      <w:r>
        <w:t xml:space="preserve">Beneficjent opracowując projekty graficzne zobowiązany jest do stosowania zasad opisanych w:  </w:t>
      </w:r>
    </w:p>
    <w:p w:rsidR="00CF4F15" w:rsidRDefault="009C301A">
      <w:pPr>
        <w:numPr>
          <w:ilvl w:val="1"/>
          <w:numId w:val="5"/>
        </w:numPr>
        <w:spacing w:after="36"/>
        <w:ind w:right="38" w:hanging="360"/>
      </w:pPr>
      <w:r>
        <w:t xml:space="preserve">Rozporządzeniu Parlamentu Europejskiego i Rady (UE) nr 1303/2013 z dnia 17 grudnia 2013 roku oraz Rozporządzeniem Wykonawczym Komisji (UE) nr 821/2014 z dnia 28 lipca 2014 roku; </w:t>
      </w:r>
    </w:p>
    <w:p w:rsidR="00CF4F15" w:rsidRDefault="009C301A">
      <w:pPr>
        <w:numPr>
          <w:ilvl w:val="1"/>
          <w:numId w:val="5"/>
        </w:numPr>
        <w:ind w:right="38" w:hanging="360"/>
      </w:pPr>
      <w:r>
        <w:t xml:space="preserve">Strategii Komunikacji PO WER na lata 2014 – 2020; </w:t>
      </w:r>
    </w:p>
    <w:p w:rsidR="00CF4F15" w:rsidRDefault="009C301A">
      <w:pPr>
        <w:numPr>
          <w:ilvl w:val="1"/>
          <w:numId w:val="5"/>
        </w:numPr>
        <w:spacing w:line="325" w:lineRule="auto"/>
        <w:ind w:right="38" w:hanging="360"/>
      </w:pPr>
      <w:r>
        <w:lastRenderedPageBreak/>
        <w:t xml:space="preserve">Księdze identyfikacji wizualnej znaku marki Fundusze Europejskie i znaków programów polityki spójności na lata 2014 – 2020. </w:t>
      </w:r>
    </w:p>
    <w:p w:rsidR="00CF4F15" w:rsidRDefault="009C301A">
      <w:pPr>
        <w:numPr>
          <w:ilvl w:val="0"/>
          <w:numId w:val="2"/>
        </w:numPr>
        <w:spacing w:after="61"/>
        <w:ind w:right="38" w:hanging="360"/>
      </w:pPr>
      <w:r>
        <w:t xml:space="preserve">Beneficjent winien przekazywać wszystkie stworzone przez siebie opracowania końcowe (zatwierdzone) w wersji elektronicznej PDF online (skład, aktywny spis treści, aktywne linki) oraz w wersji edytowalnej (w formacie programu graficznego w którym były opracowane materiały) na jednym nośniku danych odpowiednio opisanym i </w:t>
      </w:r>
      <w:proofErr w:type="spellStart"/>
      <w:r>
        <w:t>ologowanym</w:t>
      </w:r>
      <w:proofErr w:type="spellEnd"/>
      <w:r>
        <w:t xml:space="preserve"> zgodnie z </w:t>
      </w:r>
      <w:r>
        <w:rPr>
          <w:b/>
        </w:rPr>
        <w:t>ust. 4</w:t>
      </w:r>
      <w:r>
        <w:t xml:space="preserve">.  </w:t>
      </w:r>
    </w:p>
    <w:p w:rsidR="00CF4F15" w:rsidRDefault="009C301A">
      <w:pPr>
        <w:numPr>
          <w:ilvl w:val="0"/>
          <w:numId w:val="2"/>
        </w:numPr>
        <w:spacing w:line="329" w:lineRule="auto"/>
        <w:ind w:right="38" w:hanging="360"/>
      </w:pPr>
      <w:r>
        <w:t xml:space="preserve">Beneficjent wszystkie opracowane materiały przekazuje według następującego podziału oraz układu (struktury) materiałów: </w:t>
      </w:r>
    </w:p>
    <w:p w:rsidR="00CF4F15" w:rsidRDefault="009C301A">
      <w:pPr>
        <w:numPr>
          <w:ilvl w:val="2"/>
          <w:numId w:val="4"/>
        </w:numPr>
        <w:spacing w:after="34"/>
        <w:ind w:right="38" w:hanging="360"/>
      </w:pPr>
      <w:r>
        <w:t xml:space="preserve">podział na foldery odpowiadające etapowi edukacyjnemu </w:t>
      </w:r>
    </w:p>
    <w:p w:rsidR="00CF4F15" w:rsidRDefault="009C301A">
      <w:pPr>
        <w:numPr>
          <w:ilvl w:val="2"/>
          <w:numId w:val="4"/>
        </w:numPr>
        <w:spacing w:after="61"/>
        <w:ind w:right="38" w:hanging="360"/>
      </w:pPr>
      <w:r>
        <w:t xml:space="preserve">w powyższym folderze, np. dotyczącym szkoły podstawowej podział na klasy I –III (jeśli występuje u beneficjenta) oraz klasy IV – VIII, w przypadku szkoły ponadpodstawowej podział na foldery dotyczące Liceum i technikum oraz szkoły branżowej I </w:t>
      </w:r>
      <w:proofErr w:type="spellStart"/>
      <w:r>
        <w:t>i</w:t>
      </w:r>
      <w:proofErr w:type="spellEnd"/>
      <w:r>
        <w:t xml:space="preserve"> II stopnia (jeśli występuję u beneficjenta) </w:t>
      </w:r>
    </w:p>
    <w:p w:rsidR="00CF4F15" w:rsidRDefault="009C301A">
      <w:pPr>
        <w:numPr>
          <w:ilvl w:val="2"/>
          <w:numId w:val="4"/>
        </w:numPr>
        <w:spacing w:line="327" w:lineRule="auto"/>
        <w:ind w:right="38" w:hanging="360"/>
      </w:pPr>
      <w:r>
        <w:t xml:space="preserve">następnie w powyższych poszczególnych folderach podział na poszczególne zestawy narzędzi edukacyjnych, w których znajdą się pliki (nazwane zgodnie z zaleceniami konkursu - poniżej) w wersji elektronicznej (pdf) oraz edytowalnej.  </w:t>
      </w:r>
    </w:p>
    <w:p w:rsidR="00CF4F15" w:rsidRDefault="009C301A">
      <w:pPr>
        <w:spacing w:after="66"/>
        <w:ind w:left="1147" w:firstLine="0"/>
        <w:jc w:val="left"/>
      </w:pPr>
      <w:r>
        <w:t xml:space="preserve"> </w:t>
      </w:r>
    </w:p>
    <w:p w:rsidR="00CF4F15" w:rsidRDefault="009C301A">
      <w:pPr>
        <w:numPr>
          <w:ilvl w:val="0"/>
          <w:numId w:val="2"/>
        </w:numPr>
        <w:spacing w:after="59"/>
        <w:ind w:right="38" w:hanging="360"/>
      </w:pPr>
      <w:r>
        <w:t xml:space="preserve">Beneficjent zobligowany jest do stosowania jednolitego nazewnictwa poszczególnych plików (wersji elektronicznych), w których znajdować się będą opracowania narzędzi edukacyjnych, tj.  w nazewnictwie dotyczącym zestawów narzędzi edukacyjnych powinny znaleźć się następujące informacje: </w:t>
      </w:r>
    </w:p>
    <w:p w:rsidR="00CF4F15" w:rsidRDefault="009C301A">
      <w:pPr>
        <w:numPr>
          <w:ilvl w:val="2"/>
          <w:numId w:val="3"/>
        </w:numPr>
        <w:ind w:right="38" w:hanging="360"/>
      </w:pPr>
      <w:r>
        <w:t xml:space="preserve">zestaw narzędzi edukacyjnych do .. </w:t>
      </w:r>
    </w:p>
    <w:p w:rsidR="00CF4F15" w:rsidRDefault="009C301A">
      <w:pPr>
        <w:numPr>
          <w:ilvl w:val="2"/>
          <w:numId w:val="3"/>
        </w:numPr>
        <w:ind w:right="38" w:hanging="360"/>
      </w:pPr>
      <w:r>
        <w:t xml:space="preserve">etap edukacyjny  </w:t>
      </w:r>
    </w:p>
    <w:p w:rsidR="00CF4F15" w:rsidRDefault="009C301A">
      <w:pPr>
        <w:numPr>
          <w:ilvl w:val="2"/>
          <w:numId w:val="3"/>
        </w:numPr>
        <w:ind w:right="38" w:hanging="360"/>
      </w:pPr>
      <w:r>
        <w:t xml:space="preserve">przedmiot </w:t>
      </w:r>
    </w:p>
    <w:p w:rsidR="00CF4F15" w:rsidRDefault="009C301A">
      <w:pPr>
        <w:numPr>
          <w:ilvl w:val="2"/>
          <w:numId w:val="3"/>
        </w:numPr>
        <w:spacing w:after="35"/>
        <w:ind w:right="38" w:hanging="360"/>
      </w:pPr>
      <w:r>
        <w:t xml:space="preserve">poziom nauczania </w:t>
      </w:r>
    </w:p>
    <w:p w:rsidR="00CF4F15" w:rsidRDefault="009C301A">
      <w:pPr>
        <w:numPr>
          <w:ilvl w:val="2"/>
          <w:numId w:val="3"/>
        </w:numPr>
        <w:spacing w:after="31"/>
        <w:ind w:right="38" w:hanging="360"/>
      </w:pPr>
      <w:r>
        <w:t xml:space="preserve">w przypadku języków obcych nowożytnych – języka nauczany jako I lub II  </w:t>
      </w:r>
    </w:p>
    <w:p w:rsidR="00CF4F15" w:rsidRDefault="009C301A">
      <w:pPr>
        <w:numPr>
          <w:ilvl w:val="0"/>
          <w:numId w:val="2"/>
        </w:numPr>
        <w:spacing w:after="54"/>
        <w:ind w:right="38" w:hanging="360"/>
      </w:pPr>
      <w:r>
        <w:t xml:space="preserve">Beneficjent zobligowany jest do przekazania wszystkich produktów cząstkowych oraz końcowych (finalnych plików pdf jak również plików źródłowych – edytowalnych w formacie graficznym </w:t>
      </w:r>
      <w:proofErr w:type="spellStart"/>
      <w:r>
        <w:t>indd</w:t>
      </w:r>
      <w:proofErr w:type="spellEnd"/>
      <w:r>
        <w:t xml:space="preserve">). </w:t>
      </w:r>
    </w:p>
    <w:p w:rsidR="00CF4F15" w:rsidRDefault="009C301A">
      <w:pPr>
        <w:spacing w:after="317"/>
        <w:ind w:left="427" w:right="38" w:firstLine="0"/>
      </w:pPr>
      <w:r>
        <w:t xml:space="preserve">Wykonawca winien przekazać ww. materiały na jednym nośniku danych odpowiednio opisanym i </w:t>
      </w:r>
      <w:proofErr w:type="spellStart"/>
      <w:r>
        <w:t>ologowanym</w:t>
      </w:r>
      <w:proofErr w:type="spellEnd"/>
      <w:r>
        <w:t xml:space="preserve"> zgodnie z </w:t>
      </w:r>
      <w:r>
        <w:rPr>
          <w:b/>
        </w:rPr>
        <w:t>ust. 4</w:t>
      </w:r>
      <w:r>
        <w:t xml:space="preserve">.  </w:t>
      </w:r>
    </w:p>
    <w:p w:rsidR="00CF4F15" w:rsidRDefault="009C301A">
      <w:pPr>
        <w:spacing w:after="41"/>
        <w:ind w:left="0" w:firstLine="0"/>
        <w:jc w:val="left"/>
      </w:pPr>
      <w:r>
        <w:t xml:space="preserve"> </w:t>
      </w:r>
    </w:p>
    <w:p w:rsidR="00CF4F15" w:rsidRDefault="009C301A">
      <w:pPr>
        <w:spacing w:after="0"/>
        <w:ind w:left="0" w:firstLine="0"/>
        <w:jc w:val="left"/>
      </w:pPr>
      <w:r>
        <w:rPr>
          <w:sz w:val="16"/>
        </w:rPr>
        <w:t xml:space="preserve"> </w:t>
      </w:r>
    </w:p>
    <w:sectPr w:rsidR="00CF4F15">
      <w:pgSz w:w="11906" w:h="16838"/>
      <w:pgMar w:top="1419" w:right="1372" w:bottom="184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3D5D"/>
    <w:multiLevelType w:val="hybridMultilevel"/>
    <w:tmpl w:val="B3FECC00"/>
    <w:lvl w:ilvl="0" w:tplc="9676944A">
      <w:start w:val="1"/>
      <w:numFmt w:val="upperRoman"/>
      <w:lvlText w:val="%1."/>
      <w:lvlJc w:val="left"/>
      <w:pPr>
        <w:ind w:left="4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B048DE">
      <w:start w:val="1"/>
      <w:numFmt w:val="low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6792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EAF1D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861C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26721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42A95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C21CF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04BFC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E97D18"/>
    <w:multiLevelType w:val="hybridMultilevel"/>
    <w:tmpl w:val="96967C0E"/>
    <w:lvl w:ilvl="0" w:tplc="8C5E62C6">
      <w:start w:val="1"/>
      <w:numFmt w:val="decimal"/>
      <w:lvlText w:val="%1.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4803FC">
      <w:start w:val="1"/>
      <w:numFmt w:val="bullet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C6144E">
      <w:start w:val="1"/>
      <w:numFmt w:val="bullet"/>
      <w:lvlText w:val="▪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CD69C">
      <w:start w:val="1"/>
      <w:numFmt w:val="bullet"/>
      <w:lvlText w:val="•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EFC20">
      <w:start w:val="1"/>
      <w:numFmt w:val="bullet"/>
      <w:lvlText w:val="o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98FA6E">
      <w:start w:val="1"/>
      <w:numFmt w:val="bullet"/>
      <w:lvlText w:val="▪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7AF8B6">
      <w:start w:val="1"/>
      <w:numFmt w:val="bullet"/>
      <w:lvlText w:val="•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406F5E">
      <w:start w:val="1"/>
      <w:numFmt w:val="bullet"/>
      <w:lvlText w:val="o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EFEB2">
      <w:start w:val="1"/>
      <w:numFmt w:val="bullet"/>
      <w:lvlText w:val="▪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9825E5"/>
    <w:multiLevelType w:val="hybridMultilevel"/>
    <w:tmpl w:val="F50EA00E"/>
    <w:lvl w:ilvl="0" w:tplc="C7BCFB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6AD60E">
      <w:start w:val="1"/>
      <w:numFmt w:val="bullet"/>
      <w:lvlText w:val="o"/>
      <w:lvlJc w:val="left"/>
      <w:pPr>
        <w:ind w:left="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D4546C">
      <w:start w:val="1"/>
      <w:numFmt w:val="bullet"/>
      <w:lvlRestart w:val="0"/>
      <w:lvlText w:val="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94302A">
      <w:start w:val="1"/>
      <w:numFmt w:val="bullet"/>
      <w:lvlText w:val="•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606092">
      <w:start w:val="1"/>
      <w:numFmt w:val="bullet"/>
      <w:lvlText w:val="o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082514">
      <w:start w:val="1"/>
      <w:numFmt w:val="bullet"/>
      <w:lvlText w:val="▪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C9314">
      <w:start w:val="1"/>
      <w:numFmt w:val="bullet"/>
      <w:lvlText w:val="•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F4D0D2">
      <w:start w:val="1"/>
      <w:numFmt w:val="bullet"/>
      <w:lvlText w:val="o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2CF11E">
      <w:start w:val="1"/>
      <w:numFmt w:val="bullet"/>
      <w:lvlText w:val="▪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4F48CD"/>
    <w:multiLevelType w:val="hybridMultilevel"/>
    <w:tmpl w:val="559492F4"/>
    <w:lvl w:ilvl="0" w:tplc="18B2BB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B0BFC0">
      <w:start w:val="1"/>
      <w:numFmt w:val="bullet"/>
      <w:lvlText w:val="o"/>
      <w:lvlJc w:val="left"/>
      <w:pPr>
        <w:ind w:left="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25FD2">
      <w:start w:val="1"/>
      <w:numFmt w:val="bullet"/>
      <w:lvlRestart w:val="0"/>
      <w:lvlText w:val="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4BE62">
      <w:start w:val="1"/>
      <w:numFmt w:val="bullet"/>
      <w:lvlText w:val="•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A9056">
      <w:start w:val="1"/>
      <w:numFmt w:val="bullet"/>
      <w:lvlText w:val="o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F8542C">
      <w:start w:val="1"/>
      <w:numFmt w:val="bullet"/>
      <w:lvlText w:val="▪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6ECF04">
      <w:start w:val="1"/>
      <w:numFmt w:val="bullet"/>
      <w:lvlText w:val="•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72BF24">
      <w:start w:val="1"/>
      <w:numFmt w:val="bullet"/>
      <w:lvlText w:val="o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78BF92">
      <w:start w:val="1"/>
      <w:numFmt w:val="bullet"/>
      <w:lvlText w:val="▪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16388"/>
    <w:multiLevelType w:val="hybridMultilevel"/>
    <w:tmpl w:val="45923F2C"/>
    <w:lvl w:ilvl="0" w:tplc="EF4238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9C2AF2">
      <w:start w:val="1"/>
      <w:numFmt w:val="lowerLetter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DEB3FE">
      <w:start w:val="1"/>
      <w:numFmt w:val="lowerRoman"/>
      <w:lvlText w:val="%3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3EBF4A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1849D6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084C0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2C85F0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A8FEE2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66380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15"/>
    <w:rsid w:val="000B6988"/>
    <w:rsid w:val="009C301A"/>
    <w:rsid w:val="00CF4F15"/>
    <w:rsid w:val="00D5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C6B5"/>
  <w15:docId w15:val="{EAE412AD-87DC-4BA4-878E-FCF9F791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370" w:hanging="37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cp:lastModifiedBy>Anna Wesołowska</cp:lastModifiedBy>
  <cp:revision>3</cp:revision>
  <dcterms:created xsi:type="dcterms:W3CDTF">2023-05-30T09:26:00Z</dcterms:created>
  <dcterms:modified xsi:type="dcterms:W3CDTF">2023-06-05T11:53:00Z</dcterms:modified>
</cp:coreProperties>
</file>