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58" w:rsidRDefault="007975B8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tbl>
      <w:tblPr>
        <w:tblStyle w:val="a0"/>
        <w:tblW w:w="14289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5669"/>
        <w:gridCol w:w="1304"/>
        <w:gridCol w:w="1304"/>
        <w:gridCol w:w="3177"/>
      </w:tblGrid>
      <w:tr w:rsidR="00C97F58">
        <w:trPr>
          <w:trHeight w:val="741"/>
        </w:trPr>
        <w:tc>
          <w:tcPr>
            <w:tcW w:w="1428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C5E7"/>
            <w:vAlign w:val="center"/>
          </w:tcPr>
          <w:p w:rsidR="00C97F58" w:rsidRDefault="00C97F58">
            <w:pPr>
              <w:widowControl/>
              <w:spacing w:after="0" w:line="240" w:lineRule="auto"/>
              <w:rPr>
                <w:b/>
                <w:sz w:val="24"/>
                <w:szCs w:val="24"/>
              </w:rPr>
            </w:pPr>
          </w:p>
          <w:p w:rsidR="00C97F58" w:rsidRDefault="007975B8">
            <w:pPr>
              <w:widowControl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NARZĘDZIA POMIARU DYDAKTYCZNEGO I NARZĘDZIA DO EWALUACJI PROCESU ROZWIJANIA KOMPETENCJI KLUCZOWYCH</w:t>
            </w:r>
          </w:p>
          <w:p w:rsidR="00C97F58" w:rsidRDefault="00C97F58">
            <w:pPr>
              <w:widowControl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97F58" w:rsidRDefault="007975B8">
            <w:pPr>
              <w:widowControl/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OCENA EKSPERTA PRZEDMIOTOWEGO</w:t>
            </w:r>
          </w:p>
          <w:p w:rsidR="00C97F58" w:rsidRDefault="00C97F58">
            <w:pPr>
              <w:widowControl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97F58" w:rsidRDefault="00C97F58">
            <w:pPr>
              <w:widowControl/>
              <w:spacing w:after="0" w:line="240" w:lineRule="auto"/>
              <w:jc w:val="center"/>
            </w:pPr>
          </w:p>
        </w:tc>
      </w:tr>
      <w:tr w:rsidR="00C97F58">
        <w:trPr>
          <w:trHeight w:val="773"/>
        </w:trPr>
        <w:tc>
          <w:tcPr>
            <w:tcW w:w="283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7F58" w:rsidRDefault="007975B8">
            <w:r>
              <w:rPr>
                <w:b/>
              </w:rPr>
              <w:t>WYMAGANIE</w:t>
            </w:r>
          </w:p>
        </w:tc>
        <w:tc>
          <w:tcPr>
            <w:tcW w:w="56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7F58" w:rsidRDefault="007975B8">
            <w:bookmarkStart w:id="0" w:name="_heading=h.gjdgxs" w:colFirst="0" w:colLast="0"/>
            <w:bookmarkEnd w:id="0"/>
            <w:r>
              <w:rPr>
                <w:b/>
              </w:rPr>
              <w:t xml:space="preserve"> CHARAKTERYSTYKA WYMAGANIA 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7F58" w:rsidRDefault="007975B8">
            <w:r>
              <w:rPr>
                <w:b/>
              </w:rPr>
              <w:t xml:space="preserve">SPEŁNIA 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7F58" w:rsidRDefault="007975B8">
            <w:r>
              <w:rPr>
                <w:b/>
              </w:rPr>
              <w:t>NIE SPEŁNIA</w:t>
            </w:r>
          </w:p>
        </w:tc>
        <w:tc>
          <w:tcPr>
            <w:tcW w:w="31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7F58" w:rsidRDefault="007975B8">
            <w:r>
              <w:rPr>
                <w:b/>
              </w:rPr>
              <w:t>UWAGI</w:t>
            </w:r>
          </w:p>
        </w:tc>
      </w:tr>
      <w:tr w:rsidR="00C97F58">
        <w:trPr>
          <w:trHeight w:val="741"/>
        </w:trPr>
        <w:tc>
          <w:tcPr>
            <w:tcW w:w="2835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7F58" w:rsidRDefault="00C97F58">
            <w:pPr>
              <w:widowControl/>
              <w:spacing w:after="0" w:line="240" w:lineRule="auto"/>
              <w:ind w:left="32"/>
              <w:rPr>
                <w:b/>
              </w:rPr>
            </w:pPr>
          </w:p>
          <w:p w:rsidR="00C97F58" w:rsidRDefault="007975B8">
            <w:pPr>
              <w:widowControl/>
              <w:spacing w:after="0" w:line="240" w:lineRule="auto"/>
              <w:ind w:left="32"/>
            </w:pPr>
            <w:r>
              <w:rPr>
                <w:b/>
              </w:rPr>
              <w:t xml:space="preserve">Struktura zestawu narzędzi pomiaru dydaktycznego </w:t>
            </w:r>
            <w:r>
              <w:rPr>
                <w:b/>
              </w:rPr>
              <w:br/>
              <w:t xml:space="preserve">i ewaluacji kompetencji kluczowych zgodna jest </w:t>
            </w:r>
            <w:r>
              <w:rPr>
                <w:b/>
              </w:rPr>
              <w:br/>
              <w:t>z dokumentacją konkursową</w:t>
            </w:r>
          </w:p>
        </w:tc>
        <w:tc>
          <w:tcPr>
            <w:tcW w:w="56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7F58" w:rsidRDefault="007975B8">
            <w:pPr>
              <w:widowControl/>
              <w:spacing w:after="0" w:line="240" w:lineRule="auto"/>
              <w:jc w:val="both"/>
            </w:pPr>
            <w:r>
              <w:rPr>
                <w:b/>
              </w:rPr>
              <w:t>WSTĘP</w:t>
            </w:r>
            <w:bookmarkStart w:id="1" w:name="_GoBack"/>
            <w:bookmarkEnd w:id="1"/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F58">
        <w:trPr>
          <w:trHeight w:val="964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7F58" w:rsidRDefault="00C97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7F58" w:rsidRDefault="007975B8">
            <w:pPr>
              <w:widowControl/>
              <w:spacing w:after="0" w:line="240" w:lineRule="auto"/>
            </w:pPr>
            <w:r>
              <w:rPr>
                <w:b/>
              </w:rPr>
              <w:t>ROZDZIAŁ I. Testy pomiaru dydaktycznego badające poziom wiedzy i umiejętności</w:t>
            </w:r>
          </w:p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F58">
        <w:trPr>
          <w:trHeight w:val="741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7F58" w:rsidRDefault="00C97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7F58" w:rsidRDefault="007975B8">
            <w:pPr>
              <w:widowControl/>
              <w:spacing w:after="0" w:line="240" w:lineRule="auto"/>
              <w:ind w:left="32"/>
              <w:jc w:val="both"/>
            </w:pPr>
            <w:r>
              <w:rPr>
                <w:b/>
              </w:rPr>
              <w:t>ROZDZIAŁ II. Testy diagnostyczne badające przyrost wiedzy i umiejętności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F58">
        <w:trPr>
          <w:trHeight w:val="965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7F58" w:rsidRDefault="00C97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7F58" w:rsidRDefault="007975B8">
            <w:pPr>
              <w:widowControl/>
              <w:spacing w:after="0" w:line="240" w:lineRule="auto"/>
              <w:ind w:left="32"/>
            </w:pPr>
            <w:r>
              <w:rPr>
                <w:b/>
              </w:rPr>
              <w:t>ROZDZIAŁ III. Arkusze samooceny i oceny koleżeńskiej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F58">
        <w:trPr>
          <w:trHeight w:val="816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7F58" w:rsidRDefault="00C97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7F58" w:rsidRDefault="007975B8">
            <w:pPr>
              <w:widowControl/>
              <w:spacing w:after="0" w:line="240" w:lineRule="auto"/>
              <w:ind w:left="32"/>
            </w:pPr>
            <w:r>
              <w:rPr>
                <w:b/>
              </w:rPr>
              <w:t>ROZDZIAŁ IV. Arkusze formalnej i sumującej ewaluacji kompetencji kluczowych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F58">
        <w:trPr>
          <w:trHeight w:val="816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7F58" w:rsidRDefault="00C97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7F58" w:rsidRDefault="007975B8">
            <w:pPr>
              <w:widowControl/>
              <w:spacing w:after="0" w:line="240" w:lineRule="auto"/>
              <w:ind w:left="32"/>
            </w:pPr>
            <w:r>
              <w:rPr>
                <w:b/>
              </w:rPr>
              <w:t>ROZDZIAŁ V. Propozycje prac projektowych pozwalających ocenić poziom rozwoju kompetencji kluczowych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F58">
        <w:trPr>
          <w:trHeight w:val="816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7F58" w:rsidRDefault="00C97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7F58" w:rsidRDefault="007975B8">
            <w:pPr>
              <w:widowControl/>
              <w:spacing w:after="0" w:line="240" w:lineRule="auto"/>
              <w:ind w:left="32"/>
            </w:pPr>
            <w:r>
              <w:rPr>
                <w:b/>
              </w:rPr>
              <w:t>ROZDZIAŁ VI. Arkusze ewaluacji kompetencji kluczowych (nauczyciel, uczeń)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F58">
        <w:trPr>
          <w:trHeight w:val="757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7F58" w:rsidRDefault="00C97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7F58" w:rsidRDefault="007975B8">
            <w:pPr>
              <w:widowControl/>
              <w:spacing w:after="0" w:line="240" w:lineRule="auto"/>
              <w:ind w:left="32"/>
            </w:pPr>
            <w:r>
              <w:rPr>
                <w:b/>
              </w:rPr>
              <w:t>Bibliografia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F58">
        <w:trPr>
          <w:trHeight w:val="336"/>
        </w:trPr>
        <w:tc>
          <w:tcPr>
            <w:tcW w:w="2835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7F58" w:rsidRDefault="007975B8">
            <w:pPr>
              <w:widowControl/>
              <w:spacing w:after="240" w:line="240" w:lineRule="auto"/>
              <w:rPr>
                <w:b/>
              </w:rPr>
            </w:pPr>
            <w:r>
              <w:rPr>
                <w:b/>
              </w:rPr>
              <w:t>Poszczególne części zestawu narzędzi pomiaru dydaktycznego i ewaluacji kompetencji kluczowych zgodne są z dokumentacją konkursową</w:t>
            </w:r>
          </w:p>
          <w:p w:rsidR="00C97F58" w:rsidRDefault="00C97F58">
            <w:pPr>
              <w:widowControl/>
              <w:spacing w:after="240" w:line="240" w:lineRule="auto"/>
              <w:rPr>
                <w:b/>
              </w:rPr>
            </w:pPr>
          </w:p>
          <w:p w:rsidR="00C97F58" w:rsidRDefault="00C97F58">
            <w:pPr>
              <w:widowControl/>
              <w:spacing w:after="240" w:line="240" w:lineRule="auto"/>
              <w:rPr>
                <w:b/>
              </w:rPr>
            </w:pPr>
          </w:p>
          <w:p w:rsidR="00C97F58" w:rsidRDefault="00C97F58">
            <w:pPr>
              <w:widowControl/>
              <w:spacing w:after="240" w:line="240" w:lineRule="auto"/>
              <w:rPr>
                <w:b/>
              </w:rPr>
            </w:pPr>
          </w:p>
          <w:p w:rsidR="00C97F58" w:rsidRDefault="00C97F58">
            <w:pPr>
              <w:widowControl/>
              <w:spacing w:after="240" w:line="240" w:lineRule="auto"/>
              <w:rPr>
                <w:b/>
              </w:rPr>
            </w:pPr>
          </w:p>
          <w:p w:rsidR="00C97F58" w:rsidRDefault="00C97F58">
            <w:pPr>
              <w:widowControl/>
              <w:spacing w:after="240" w:line="240" w:lineRule="auto"/>
              <w:rPr>
                <w:b/>
              </w:rPr>
            </w:pPr>
          </w:p>
          <w:p w:rsidR="00C97F58" w:rsidRDefault="00C97F58">
            <w:pPr>
              <w:widowControl/>
              <w:spacing w:after="240" w:line="240" w:lineRule="auto"/>
              <w:rPr>
                <w:b/>
              </w:rPr>
            </w:pPr>
          </w:p>
          <w:p w:rsidR="00C97F58" w:rsidRDefault="00C97F58">
            <w:pPr>
              <w:widowControl/>
              <w:spacing w:after="240" w:line="240" w:lineRule="auto"/>
              <w:rPr>
                <w:b/>
              </w:rPr>
            </w:pPr>
          </w:p>
        </w:tc>
        <w:tc>
          <w:tcPr>
            <w:tcW w:w="11454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E4E5"/>
            <w:vAlign w:val="center"/>
          </w:tcPr>
          <w:p w:rsidR="00C97F58" w:rsidRDefault="00C97F58">
            <w:pPr>
              <w:widowControl/>
              <w:spacing w:after="0" w:line="240" w:lineRule="auto"/>
              <w:ind w:left="32"/>
              <w:rPr>
                <w:b/>
              </w:rPr>
            </w:pPr>
          </w:p>
          <w:p w:rsidR="00C97F58" w:rsidRDefault="007975B8">
            <w:pPr>
              <w:widowControl/>
              <w:spacing w:after="0" w:line="240" w:lineRule="auto"/>
              <w:ind w:left="32"/>
            </w:pPr>
            <w:r>
              <w:rPr>
                <w:b/>
              </w:rPr>
              <w:t>WSTĘP zawiera ogólne informacje na temat:</w:t>
            </w:r>
          </w:p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F58">
        <w:trPr>
          <w:trHeight w:val="336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7F58" w:rsidRDefault="00C97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7F58" w:rsidRDefault="00797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1. celów i istoty opracowania zestawu narzędzi pomiaru dydaktycznego i ewaluacji kompetencji kluczowych;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F58">
        <w:trPr>
          <w:trHeight w:val="1157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7F58" w:rsidRDefault="00C97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7F58" w:rsidRDefault="007975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2. kompatybilności załączonych narzędzi do monitorowania postępów ucznia z podejściem do nauczania przyjętym </w:t>
            </w:r>
            <w:r>
              <w:rPr>
                <w:b/>
              </w:rPr>
              <w:br/>
              <w:t>w programie nauczania oraz opracowanym do niego poradnikiem metodycznym.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F58">
        <w:trPr>
          <w:trHeight w:val="907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7F58" w:rsidRDefault="00C97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4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E4E5"/>
          </w:tcPr>
          <w:p w:rsidR="00C97F58" w:rsidRDefault="00C97F58">
            <w:pPr>
              <w:widowControl/>
              <w:spacing w:after="63" w:line="240" w:lineRule="auto"/>
              <w:rPr>
                <w:b/>
              </w:rPr>
            </w:pPr>
          </w:p>
          <w:p w:rsidR="00C97F58" w:rsidRDefault="007975B8">
            <w:pPr>
              <w:widowControl/>
              <w:spacing w:after="63" w:line="240" w:lineRule="auto"/>
            </w:pPr>
            <w:r>
              <w:rPr>
                <w:b/>
              </w:rPr>
              <w:t>ROZDZIAŁ I „Testy diagnostyczne badające poziom wiedzy i umiejętności” zawiera:</w:t>
            </w:r>
          </w:p>
        </w:tc>
      </w:tr>
      <w:tr w:rsidR="00C97F58">
        <w:trPr>
          <w:trHeight w:val="540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7F58" w:rsidRDefault="00C97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6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C97F58" w:rsidRDefault="007975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3" w:line="240" w:lineRule="auto"/>
            </w:pPr>
            <w:r>
              <w:rPr>
                <w:b/>
              </w:rPr>
              <w:t>1.1. test diagnozy wstępnej na starcie (2 równoległe testy);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C97F58" w:rsidRDefault="00C97F58">
            <w:pPr>
              <w:widowControl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C97F58" w:rsidRDefault="00C97F58">
            <w:pPr>
              <w:widowControl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97F58" w:rsidRDefault="00C97F58">
            <w:pPr>
              <w:widowControl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F58">
        <w:trPr>
          <w:trHeight w:val="540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7F58" w:rsidRDefault="00C97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C97F58" w:rsidRDefault="007975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3" w:line="240" w:lineRule="auto"/>
            </w:pPr>
            <w:r>
              <w:rPr>
                <w:b/>
              </w:rPr>
              <w:t>1.2. test diagnozy bieżącej (2 równoległe testy);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F58">
        <w:trPr>
          <w:trHeight w:val="405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7F58" w:rsidRDefault="00C97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C97F58" w:rsidRDefault="007975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3" w:line="240" w:lineRule="auto"/>
            </w:pPr>
            <w:r>
              <w:rPr>
                <w:b/>
              </w:rPr>
              <w:t>1.3. test diagnozy śródrocznej (2 równoległe testy);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C97F58" w:rsidRDefault="00C97F58">
            <w:pPr>
              <w:widowControl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C97F58" w:rsidRDefault="00C97F58">
            <w:pPr>
              <w:widowControl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97F58" w:rsidRDefault="00C97F58">
            <w:pPr>
              <w:widowControl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F58">
        <w:trPr>
          <w:trHeight w:val="456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7F58" w:rsidRDefault="00C97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C97F58" w:rsidRDefault="007975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3" w:line="240" w:lineRule="auto"/>
            </w:pPr>
            <w:r>
              <w:rPr>
                <w:b/>
              </w:rPr>
              <w:t>1.4. test diagnozy na zakończenie (2 równoległe testy);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C97F58" w:rsidRDefault="00C97F58">
            <w:pPr>
              <w:widowControl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C97F58" w:rsidRDefault="00C97F58">
            <w:pPr>
              <w:widowControl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97F58" w:rsidRDefault="00C97F58">
            <w:pPr>
              <w:widowControl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F58">
        <w:trPr>
          <w:trHeight w:val="456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7F58" w:rsidRDefault="00C97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C97F58" w:rsidRDefault="007975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3" w:line="240" w:lineRule="auto"/>
            </w:pPr>
            <w:r>
              <w:rPr>
                <w:b/>
              </w:rPr>
              <w:t>1.5. dla każdego testu:</w:t>
            </w:r>
          </w:p>
          <w:p w:rsidR="00C97F58" w:rsidRDefault="007975B8">
            <w:pPr>
              <w:widowControl/>
              <w:spacing w:after="63" w:line="240" w:lineRule="auto"/>
            </w:pPr>
            <w:r>
              <w:rPr>
                <w:b/>
              </w:rPr>
              <w:t>a) wyszczególnienie treści przedmiotowych/ celów szczegółowych wynikające z podstawy programowej;</w:t>
            </w:r>
          </w:p>
          <w:p w:rsidR="00C97F58" w:rsidRDefault="007975B8">
            <w:pPr>
              <w:widowControl/>
              <w:spacing w:after="63" w:line="240" w:lineRule="auto"/>
            </w:pPr>
            <w:r>
              <w:rPr>
                <w:b/>
              </w:rPr>
              <w:t>b) wyszczególnienie umiejętności, poprzez które stopień opanowania wiedzy może być oceniany;</w:t>
            </w:r>
          </w:p>
          <w:p w:rsidR="00C97F58" w:rsidRDefault="007975B8">
            <w:pPr>
              <w:widowControl/>
              <w:spacing w:after="63" w:line="240" w:lineRule="auto"/>
            </w:pPr>
            <w:r>
              <w:rPr>
                <w:b/>
              </w:rPr>
              <w:lastRenderedPageBreak/>
              <w:t>c) poziom opanowania wiedzy (np.: zapamiętanie, zrozumienie, zastosowanie, analiza, kreatywność);</w:t>
            </w:r>
          </w:p>
          <w:p w:rsidR="00C97F58" w:rsidRDefault="007975B8">
            <w:pPr>
              <w:widowControl/>
              <w:spacing w:after="63" w:line="240" w:lineRule="auto"/>
            </w:pPr>
            <w:r>
              <w:rPr>
                <w:b/>
              </w:rPr>
              <w:t>d) zestaw kryteriów oceniania wraz z poziomem opanowania ocenianej wiedzy/ umiejętności (zalecaną formą realizacji jest forma tabelaryczna).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F58">
        <w:trPr>
          <w:trHeight w:val="885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7F58" w:rsidRDefault="00C97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4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E4E5"/>
            <w:vAlign w:val="center"/>
          </w:tcPr>
          <w:p w:rsidR="00C97F58" w:rsidRDefault="007975B8">
            <w:pPr>
              <w:widowControl/>
              <w:spacing w:after="0" w:line="240" w:lineRule="auto"/>
            </w:pPr>
            <w:r>
              <w:rPr>
                <w:b/>
              </w:rPr>
              <w:t>ROZDZIAŁ II „Testy diagnostyczne badające przyrost wiedzy i umiejętności” zawiera:</w:t>
            </w:r>
          </w:p>
        </w:tc>
      </w:tr>
      <w:tr w:rsidR="00C97F58">
        <w:trPr>
          <w:trHeight w:val="735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7F58" w:rsidRDefault="00C97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6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7F58" w:rsidRDefault="007975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b/>
              </w:rPr>
              <w:t>2.1. testy pomiaru przyrostu wiedzy i umiejętności;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F58">
        <w:trPr>
          <w:trHeight w:val="1701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7F58" w:rsidRDefault="00C97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7F58" w:rsidRDefault="007975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</w:rPr>
              <w:t>2.2. dla każdego testu:</w:t>
            </w:r>
          </w:p>
          <w:p w:rsidR="00C97F58" w:rsidRDefault="007975B8">
            <w:pPr>
              <w:widowControl/>
              <w:spacing w:after="0" w:line="240" w:lineRule="auto"/>
            </w:pPr>
            <w:r>
              <w:rPr>
                <w:b/>
              </w:rPr>
              <w:t>a) wyszczególnienie treści przedmiotowych/ celów szczegółowych wynikające z podstawy programowej;</w:t>
            </w:r>
          </w:p>
          <w:p w:rsidR="00C97F58" w:rsidRDefault="007975B8">
            <w:pPr>
              <w:widowControl/>
              <w:spacing w:after="0" w:line="240" w:lineRule="auto"/>
            </w:pPr>
            <w:r>
              <w:rPr>
                <w:b/>
              </w:rPr>
              <w:t>b) wyszczególnienie umiejętności, poprzez które stopień opanowania wiedzy może być oceniany;</w:t>
            </w:r>
          </w:p>
          <w:p w:rsidR="00C97F58" w:rsidRDefault="007975B8">
            <w:pPr>
              <w:widowControl/>
              <w:spacing w:after="0" w:line="240" w:lineRule="auto"/>
            </w:pPr>
            <w:r>
              <w:rPr>
                <w:b/>
              </w:rPr>
              <w:t>c) poziom opanowania wiedzy (np.: zapamiętanie, zrozumienie, zastosowanie, analiza, kreatywność);</w:t>
            </w:r>
          </w:p>
          <w:p w:rsidR="00C97F58" w:rsidRDefault="007975B8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d) zestaw kryteriów oceniania wraz z poziomem opanowania ocenianej wiedzy/umiejętności (zalecaną formą realizacji jest forma tabelaryczna).</w:t>
            </w:r>
          </w:p>
          <w:p w:rsidR="00C97F58" w:rsidRDefault="00C97F58">
            <w:pPr>
              <w:widowControl/>
              <w:spacing w:after="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F58">
        <w:trPr>
          <w:trHeight w:val="855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7F58" w:rsidRDefault="00C97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4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E4E5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F58" w:rsidRDefault="007975B8">
            <w:pPr>
              <w:widowControl/>
              <w:spacing w:after="0" w:line="240" w:lineRule="auto"/>
            </w:pPr>
            <w:r>
              <w:rPr>
                <w:b/>
              </w:rPr>
              <w:t>ROZDZIAŁ III „Arkusze samooceny i oceny koleżeńskiej” zawiera:</w:t>
            </w:r>
          </w:p>
        </w:tc>
      </w:tr>
      <w:tr w:rsidR="00C97F58">
        <w:trPr>
          <w:trHeight w:val="420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7F58" w:rsidRDefault="00C97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6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7F58" w:rsidRDefault="007975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3.1. arkusz samooceny dostosowany do specyfiki przedmiotu i etapu edukacyjnego wraz z wyjaśnieniem jak stosować to narzędzie i interpretować uzyskane wyniki;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F58">
        <w:trPr>
          <w:trHeight w:val="435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7F58" w:rsidRDefault="00C97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7F58" w:rsidRDefault="007975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</w:rPr>
              <w:t>3.2. arkusz oceny koleżeńskiej dostosowany do specyfiki przedmiotu i etapu edukacyjnego wraz z wyjaśnieniem jak stosować to narzędzie i interpretować uzyskane wyniki.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F58">
        <w:trPr>
          <w:trHeight w:val="726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7F58" w:rsidRDefault="00C97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4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E4E5"/>
          </w:tcPr>
          <w:p w:rsidR="00C97F58" w:rsidRDefault="00C97F58">
            <w:pPr>
              <w:widowControl/>
              <w:spacing w:after="0" w:line="240" w:lineRule="auto"/>
              <w:rPr>
                <w:b/>
              </w:rPr>
            </w:pPr>
          </w:p>
          <w:p w:rsidR="00C97F58" w:rsidRDefault="007975B8">
            <w:pPr>
              <w:widowControl/>
              <w:spacing w:after="0" w:line="240" w:lineRule="auto"/>
            </w:pPr>
            <w:r>
              <w:rPr>
                <w:b/>
              </w:rPr>
              <w:t>ROZDZIAŁ IV „Arkusze formatywnej i sumującej ewaluacji kompetencji kluczowych” zawiera:</w:t>
            </w:r>
          </w:p>
        </w:tc>
      </w:tr>
      <w:tr w:rsidR="00C97F58">
        <w:trPr>
          <w:trHeight w:val="726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7F58" w:rsidRDefault="00C97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6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7F58" w:rsidRDefault="007975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</w:rPr>
              <w:t xml:space="preserve">4.1. </w:t>
            </w:r>
            <w:r>
              <w:rPr>
                <w:b/>
                <w:color w:val="222222"/>
                <w:highlight w:val="white"/>
              </w:rPr>
              <w:t>arkusz formatywnej ewaluacji kompetencji kluczowych wraz z wyjaśnieniem jak stosować to narzędzie</w:t>
            </w:r>
          </w:p>
          <w:p w:rsidR="00C97F58" w:rsidRDefault="007975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  <w:color w:val="222222"/>
                <w:highlight w:val="white"/>
              </w:rPr>
              <w:t>i interpretować uzyskane wyniki;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F58">
        <w:trPr>
          <w:trHeight w:val="726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7F58" w:rsidRDefault="00C97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7F58" w:rsidRDefault="007975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4.2. arkusz sumującej ewaluacji kompetencji kluczowych wraz z wyjaśnieniem jak stosować to narzędzie </w:t>
            </w:r>
            <w:r>
              <w:rPr>
                <w:b/>
              </w:rPr>
              <w:br/>
              <w:t>i interpretować uzyskane wyniki.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F58">
        <w:trPr>
          <w:trHeight w:val="726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7F58" w:rsidRDefault="00C97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4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E4E5"/>
          </w:tcPr>
          <w:p w:rsidR="00C97F58" w:rsidRDefault="007975B8">
            <w:pPr>
              <w:widowControl/>
              <w:spacing w:after="0" w:line="240" w:lineRule="auto"/>
            </w:pPr>
            <w:r>
              <w:rPr>
                <w:b/>
              </w:rPr>
              <w:t>ROZDZIAŁ V „Przykłady dobrych praktyk planowania ewaluacji kompetencji kluczowych i uniwersalnych dostosowane do specyfiki przedmiotu i etapu edukacyjnego” zawiera:</w:t>
            </w:r>
          </w:p>
        </w:tc>
      </w:tr>
      <w:tr w:rsidR="00C97F58">
        <w:trPr>
          <w:trHeight w:val="1632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7F58" w:rsidRDefault="00C97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6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7F58" w:rsidRDefault="007975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</w:rPr>
              <w:t xml:space="preserve">5.1. przykładowe tematy prac projektowych dostosowanych do przedmiotu i etapu edukacyjnego pozwalających ocenić kompetencje kluczowe i uniwersalne ucznia wraz z wyjaśnieniem jak stosować to narzędzie </w:t>
            </w:r>
            <w:r>
              <w:rPr>
                <w:b/>
              </w:rPr>
              <w:br/>
              <w:t>i interpretować uzyskane wyniki.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F58">
        <w:trPr>
          <w:trHeight w:val="855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7F58" w:rsidRDefault="00C97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4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E4E5"/>
            <w:vAlign w:val="center"/>
          </w:tcPr>
          <w:p w:rsidR="00C97F58" w:rsidRDefault="007975B8">
            <w:pPr>
              <w:widowControl/>
              <w:spacing w:after="0" w:line="240" w:lineRule="auto"/>
              <w:ind w:left="32"/>
            </w:pPr>
            <w:r>
              <w:rPr>
                <w:b/>
              </w:rPr>
              <w:t>ROZDZIAŁ VI „Arkusze ewaluacji kompetencji kluczowych i uniwersalnych (nauczyciel, uczeń)” zawiera:</w:t>
            </w:r>
          </w:p>
        </w:tc>
      </w:tr>
      <w:tr w:rsidR="00C97F58">
        <w:trPr>
          <w:trHeight w:val="421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7F58" w:rsidRDefault="00C97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6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7F58" w:rsidRDefault="007975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6.1. kryteria oceny ewaluacji kompetencji kluczowych </w:t>
            </w:r>
            <w:r>
              <w:rPr>
                <w:b/>
              </w:rPr>
              <w:br/>
              <w:t>i uniwersalnych w kontekście danego przedmiotu i etapu edukacyjnego;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F58">
        <w:trPr>
          <w:trHeight w:val="540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7F58" w:rsidRDefault="00C97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7F58" w:rsidRDefault="007975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6.2. arkusz ewaluacji kompetencji kluczowych </w:t>
            </w:r>
            <w:r>
              <w:rPr>
                <w:b/>
              </w:rPr>
              <w:br/>
              <w:t>i uniwersalnych dla nauczyciela;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F58">
        <w:trPr>
          <w:trHeight w:val="462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7F58" w:rsidRDefault="00C97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7F58" w:rsidRDefault="007975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6.3. arkusz ewaluacji kompetencji kluczowych</w:t>
            </w:r>
            <w:r>
              <w:rPr>
                <w:b/>
              </w:rPr>
              <w:br/>
              <w:t xml:space="preserve"> i uniwersalnych dla ucznia;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F58">
        <w:trPr>
          <w:trHeight w:val="819"/>
        </w:trPr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97F58" w:rsidRDefault="00C97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7F58" w:rsidRDefault="007975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6.4. przeprowadzenie analizy SWOT w oparciu o wyniki ewaluacji kompetencji kluczowej.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97F58" w:rsidRDefault="00C97F58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7F58" w:rsidRDefault="00C97F58"/>
    <w:sectPr w:rsidR="00C97F5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5B8" w:rsidRDefault="007975B8">
      <w:pPr>
        <w:spacing w:after="0" w:line="240" w:lineRule="auto"/>
      </w:pPr>
      <w:r>
        <w:separator/>
      </w:r>
    </w:p>
  </w:endnote>
  <w:endnote w:type="continuationSeparator" w:id="0">
    <w:p w:rsidR="007975B8" w:rsidRDefault="0079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F58" w:rsidRDefault="007975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515B58">
      <w:rPr>
        <w:noProof/>
      </w:rPr>
      <w:t>3</w:t>
    </w:r>
    <w:r>
      <w:fldChar w:fldCharType="end"/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6739255</wp:posOffset>
          </wp:positionH>
          <wp:positionV relativeFrom="paragraph">
            <wp:posOffset>-167003</wp:posOffset>
          </wp:positionV>
          <wp:extent cx="2054225" cy="743585"/>
          <wp:effectExtent l="0" t="0" r="0" b="0"/>
          <wp:wrapSquare wrapText="bothSides" distT="0" distB="0" distL="0" distR="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4225" cy="74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-4443</wp:posOffset>
          </wp:positionH>
          <wp:positionV relativeFrom="paragraph">
            <wp:posOffset>-167638</wp:posOffset>
          </wp:positionV>
          <wp:extent cx="1627505" cy="719455"/>
          <wp:effectExtent l="0" t="0" r="0" b="0"/>
          <wp:wrapSquare wrapText="bothSides" distT="0" distB="0" distL="0" distR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7505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5B8" w:rsidRDefault="007975B8">
      <w:pPr>
        <w:spacing w:after="0" w:line="240" w:lineRule="auto"/>
      </w:pPr>
      <w:r>
        <w:separator/>
      </w:r>
    </w:p>
  </w:footnote>
  <w:footnote w:type="continuationSeparator" w:id="0">
    <w:p w:rsidR="007975B8" w:rsidRDefault="0079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76" w:rsidRPr="00515B58" w:rsidRDefault="00515B58" w:rsidP="00515B58">
    <w:pPr>
      <w:pStyle w:val="Nagwek"/>
      <w:jc w:val="right"/>
      <w:rPr>
        <w:i/>
      </w:rPr>
    </w:pPr>
    <w:r w:rsidRPr="00515B58">
      <w:rPr>
        <w:i/>
      </w:rPr>
      <w:t>Załącznik nr 1do opisu przedmiotu zamówienia</w:t>
    </w:r>
  </w:p>
  <w:p w:rsidR="00C97F58" w:rsidRDefault="00C97F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58"/>
    <w:rsid w:val="00515B58"/>
    <w:rsid w:val="00527376"/>
    <w:rsid w:val="007975B8"/>
    <w:rsid w:val="00C9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B7903"/>
  <w15:docId w15:val="{741063AE-3D05-4B95-BE39-808F3037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4E1"/>
    <w:rPr>
      <w:color w:val="000000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qFormat/>
    <w:rsid w:val="00531847"/>
    <w:rPr>
      <w:rFonts w:ascii="Calibri" w:eastAsia="Calibri" w:hAnsi="Calibri" w:cs="Calibri"/>
      <w:color w:val="00000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31847"/>
    <w:rPr>
      <w:rFonts w:ascii="Calibri" w:eastAsia="Calibri" w:hAnsi="Calibri" w:cs="Calibri"/>
      <w:color w:val="00000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31847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9A2D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1847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3184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18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vCdq4Tf491IsioMJhqe/X1vzfg==">AMUW2mXKv/r2/3/eDGLVn7LBiwwTuaNep6R+1U7+Gmw1UV+h1iOLFBBM7K5ZHrFXtxCGdr4WlxVfhVIwQV084WXvwBw/D4LwjGdG95joe8dNFSC6u6JP1X16xBAkRwwLWGizlijPoiN4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624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Anna Wesołowska</cp:lastModifiedBy>
  <cp:revision>3</cp:revision>
  <dcterms:created xsi:type="dcterms:W3CDTF">2020-12-17T06:11:00Z</dcterms:created>
  <dcterms:modified xsi:type="dcterms:W3CDTF">2023-06-05T11:49:00Z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