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10" w:rsidRDefault="009B71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14055" w:type="dxa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3"/>
        <w:gridCol w:w="5668"/>
        <w:gridCol w:w="1306"/>
        <w:gridCol w:w="1299"/>
        <w:gridCol w:w="2949"/>
      </w:tblGrid>
      <w:tr w:rsidR="009B7110">
        <w:trPr>
          <w:trHeight w:val="1304"/>
        </w:trPr>
        <w:tc>
          <w:tcPr>
            <w:tcW w:w="140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C5E7"/>
          </w:tcPr>
          <w:p w:rsidR="009B7110" w:rsidRDefault="009B7110">
            <w:pPr>
              <w:widowControl/>
              <w:shd w:val="clear" w:color="auto" w:fill="ADC5E7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B7110" w:rsidRDefault="00E66660">
            <w:pPr>
              <w:widowControl/>
              <w:shd w:val="clear" w:color="auto" w:fill="ADC5E7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SCENARIUSZE INTERDYSCYPLINARNYCH PROJEKTÓW EDUKACYJNYCH</w:t>
            </w:r>
          </w:p>
        </w:tc>
      </w:tr>
      <w:tr w:rsidR="009B7110">
        <w:trPr>
          <w:trHeight w:val="624"/>
        </w:trPr>
        <w:tc>
          <w:tcPr>
            <w:tcW w:w="2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r>
              <w:rPr>
                <w:b/>
              </w:rPr>
              <w:t xml:space="preserve"> WYMAGANIE</w:t>
            </w: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bookmarkStart w:id="0" w:name="_heading=h.gjdgxs" w:colFirst="0" w:colLast="0"/>
            <w:bookmarkEnd w:id="0"/>
            <w:r>
              <w:rPr>
                <w:b/>
              </w:rPr>
              <w:t xml:space="preserve"> CHARAKTERYSTYKA WYMAGANIA 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r>
              <w:rPr>
                <w:b/>
              </w:rPr>
              <w:t xml:space="preserve"> SPEŁNIA 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r>
              <w:rPr>
                <w:b/>
              </w:rPr>
              <w:t xml:space="preserve"> NIE  SPEŁNIA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r>
              <w:rPr>
                <w:b/>
              </w:rPr>
              <w:t xml:space="preserve"> UWAGI</w:t>
            </w:r>
          </w:p>
        </w:tc>
      </w:tr>
      <w:tr w:rsidR="009B7110">
        <w:trPr>
          <w:trHeight w:val="624"/>
        </w:trPr>
        <w:tc>
          <w:tcPr>
            <w:tcW w:w="28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spacing w:before="57" w:after="257"/>
            </w:pPr>
            <w:r>
              <w:rPr>
                <w:b/>
              </w:rPr>
              <w:t xml:space="preserve"> Temat projektu</w:t>
            </w: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257"/>
            </w:pPr>
            <w:r>
              <w:rPr>
                <w:b/>
              </w:rPr>
              <w:t>1.1. Tematyka projektu nawiązuje do treści zaprezentowanych w programie nauczania.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  <w:bookmarkStart w:id="1" w:name="_GoBack"/>
            <w:bookmarkEnd w:id="1"/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257"/>
            </w:pPr>
            <w:r>
              <w:rPr>
                <w:b/>
              </w:rPr>
              <w:t>1.2. Temat projektu został sformułowany w sposób budzący zaciekawienie ucznia.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widowControl/>
              <w:spacing w:before="57" w:after="57" w:line="240" w:lineRule="auto"/>
            </w:pPr>
            <w:r>
              <w:rPr>
                <w:b/>
              </w:rPr>
              <w:t xml:space="preserve"> Cele projektu</w:t>
            </w: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2.1. Cel projektu został sformułowany  w języku zrozumiałym dla uczniów na danym etapie edukacyjnym.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2.2. Cel projektu został sformułowany w języku efektów kształcenia osiąganych w trakcie jego realizacji.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2.3. Cel projektu jest osiągalny dla uczniów na danym etapie edukacyjnym.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2.4. Stopień realizacji założonego celu projektu jest mierzalny.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widowControl/>
              <w:spacing w:before="57" w:after="57" w:line="240" w:lineRule="auto"/>
            </w:pPr>
            <w:r>
              <w:rPr>
                <w:b/>
              </w:rPr>
              <w:t xml:space="preserve"> Treści kształcenia</w:t>
            </w:r>
          </w:p>
          <w:p w:rsidR="009B7110" w:rsidRDefault="009B7110">
            <w:pPr>
              <w:widowControl/>
              <w:spacing w:before="57" w:after="57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lastRenderedPageBreak/>
              <w:t>3.1. Treści kształcenia są zgodne  z podstawą programową danego przedmiotu.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3.2. Treści kształcenia są bezpośrednio związane z koncepcją dydaktyczną autora programu nauczania.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3.3. Treści kształcenia zostały uzupełnione o elementy interdyscyplinarne, rozszerzające podstawę programową danego przedmiotu.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3.4. Treści kształcenia zawierają propozycje realizacji wybranych punktów podstaw programowych z innych przedmiotów.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3.5. Dobór treści kształcenia umożliwia  kształtowanie kompetencji kluczowych i kompetencji międzyprzedmiotowych, w tym umiejętności niezbędnych na rynku pracy.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widowControl/>
              <w:spacing w:before="57" w:after="57" w:line="240" w:lineRule="auto"/>
            </w:pPr>
            <w:r>
              <w:rPr>
                <w:b/>
              </w:rPr>
              <w:t xml:space="preserve"> Odbiorcy projektu edukacyjnego</w:t>
            </w: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4.1. Została podana szczegółowa charakterystyka odbiorców projektu (np. typ szkoły, klasa, wiek uczniów).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4.2. Projekt jest adekwatnie dobrany do wieku, możliwości poznawczych oraz dojrzałości emocjonalnej i społecznej odbiorców.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 xml:space="preserve">4.3. Odbiorcami projektu mogą być uczniowie </w:t>
            </w:r>
            <w:r>
              <w:rPr>
                <w:b/>
              </w:rPr>
              <w:br/>
              <w:t>o zróżnicowanych potrzebach edukacyjnych oraz o różnych umiejętnościach.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widowControl/>
              <w:spacing w:before="57" w:after="57" w:line="240" w:lineRule="auto"/>
            </w:pPr>
            <w:r>
              <w:rPr>
                <w:b/>
              </w:rPr>
              <w:t xml:space="preserve"> Formy i metody realizacji projektu</w:t>
            </w: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5.1. Zaproponowane formy i metody pracy są zgodne</w:t>
            </w:r>
            <w:r>
              <w:rPr>
                <w:b/>
              </w:rPr>
              <w:br/>
              <w:t xml:space="preserve"> z podejściem metodycznym/dydaktycznym zaprezentowanym w programie nauczania.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 xml:space="preserve">5.2. Zaproponowano zróżnicowane formy </w:t>
            </w:r>
            <w:r>
              <w:rPr>
                <w:b/>
              </w:rPr>
              <w:br/>
              <w:t>i metody pracy z uczniami, w tym również metody wykorzystujące technologię ICT.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5.3. Zaproponowane formy i metody pracy pozwalają na realizację projektu lub przynajmniej jego najważniejszych elementów w trybie zdalnym.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5.4. Zaproponowane formy i metody pracy są dostosowane do zróżnicowanych potrzeb edukacyjnych uczniów.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5.5. Zaproponowane formy i metody pracy umożliwiają kształtowanie kompetencji kluczowych oraz kompetencji międzyprzedmiotowych, w tym kompetencji niezbędnych na rynku pracy.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widowControl/>
              <w:spacing w:before="57" w:after="57" w:line="240" w:lineRule="auto"/>
            </w:pPr>
            <w:r>
              <w:rPr>
                <w:b/>
              </w:rPr>
              <w:t xml:space="preserve"> Sposób realizacji projektu edukacyjnego</w:t>
            </w: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 xml:space="preserve">6.1. Sposób realizacji projektu jest zgodny </w:t>
            </w:r>
            <w:r>
              <w:rPr>
                <w:b/>
              </w:rPr>
              <w:br/>
              <w:t>z  zaleceniami zawartymi w podstawie programowej oraz koncepcją autorów programu nauczania.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6.2. Sposób realizacji projektu nie generuje barier (np. finansowych, technologicznych, logistycznych) wykluczających niektóre grupy uczniów z jego realizacji.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 xml:space="preserve">6.3. Sposób realizacji projektu sprzyja kształtowaniu umiejętności współpracy </w:t>
            </w:r>
            <w:r>
              <w:rPr>
                <w:b/>
              </w:rPr>
              <w:br/>
              <w:t>w grupie i umiejętności przyjmowania różnych ról społecznych przez uczniów.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6.4. Sposób realizacji projektu umożliwia aktywne i pełne uczestnictwo uczniom o zróżnicowanych potrzebach edukacyjnych.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6.5. Sposób realizacji projektu pozwala uczniom w pełni wykorzystywać swoje mocne strony i uzdolnienia.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6.6. Sposób realizacji projektu umożliwia pełne wykorzystanie lokalnej infrastruktury edukacyjnej, rozumianej zarówno jako potencjał szkoły, potencjał instytucji współpracujących ze szkołą lub walory lokalnego środowiska (przyrodniczego, kulturalnego, itp.).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widowControl/>
              <w:spacing w:before="57" w:after="57" w:line="240" w:lineRule="auto"/>
            </w:pPr>
            <w:r>
              <w:rPr>
                <w:b/>
              </w:rPr>
              <w:t xml:space="preserve"> Regulamin projektu</w:t>
            </w: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  <w:rPr>
                <w:b/>
              </w:rPr>
            </w:pPr>
          </w:p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7.1. Do projektu dołączono regulamin/ kontrakt przeznaczony dla uczniów.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 xml:space="preserve">7.2. Regulamin jest napisany językiem przejrzystym </w:t>
            </w:r>
            <w:r>
              <w:rPr>
                <w:b/>
              </w:rPr>
              <w:br/>
              <w:t>i zrozumiałym dla uczniów na danym etapie edukacyjnym.</w:t>
            </w:r>
          </w:p>
        </w:tc>
        <w:tc>
          <w:tcPr>
            <w:tcW w:w="13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7.3. Regulamin kładzie nacisk na poszanowanie indywidualności ucznia i nie wyklucza nikogo z realizacji projektu.</w:t>
            </w:r>
          </w:p>
        </w:tc>
        <w:tc>
          <w:tcPr>
            <w:tcW w:w="13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7.4. Zostały podane szczegółowe kryteria oceniania projektu.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7.5. Kryteria oceniania projektu są spójne i przejrzyste dla uczniów.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  <w:vAlign w:val="center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7.6. Kryteria oceniania umożliwiają sformułowanie spersonalizowanej oceny, w zależności od indywidualnych możliwości i zróżnicowanych potrzeb edukacyjnych uczniów.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B26B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widowControl/>
              <w:spacing w:before="57" w:after="57" w:line="240" w:lineRule="auto"/>
            </w:pPr>
            <w:r>
              <w:rPr>
                <w:b/>
              </w:rPr>
              <w:t xml:space="preserve"> Ocenianie projektu edukacyjnego</w:t>
            </w: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7.7. Zaproponowano narzędzie ewaluacji projektu.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7.8. Zaproponowane narzędzie pozwala zmierzyć stopień realizacji celów projektu.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7.9. Dołączono do projektu materiały pomocnicze takie jak opis zastosowania multimediów,  opis dobrych praktyk projektowych czy krótki komentarz metodyczny, itp.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widowControl/>
              <w:spacing w:before="57" w:after="57" w:line="240" w:lineRule="auto"/>
            </w:pPr>
            <w:r>
              <w:rPr>
                <w:b/>
              </w:rPr>
              <w:t xml:space="preserve"> Ewaluacja projektu edukacyjnego</w:t>
            </w: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 xml:space="preserve">8.1. Dołączono do projektu karty lub inne narzędzia do monitorowania realizacji zadań grupowych. 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>8.2. Dołączono do projektu karty pracy dla uczniów lub inne równoważne narzędzia – kryterium nieobowiązkowe.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widowControl/>
              <w:spacing w:after="0" w:line="240" w:lineRule="auto"/>
            </w:pPr>
            <w:r>
              <w:rPr>
                <w:b/>
              </w:rPr>
              <w:t xml:space="preserve"> Materiały pomocnicze</w:t>
            </w: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 xml:space="preserve">9.1. Materiały pomocnicze są opracowane </w:t>
            </w:r>
            <w:r>
              <w:rPr>
                <w:b/>
              </w:rPr>
              <w:br/>
              <w:t>w sposób zrozumiały i zawierają istotne z punktu widzenia nauczyciela wskazówki dotyczące realizacji projektu.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7110">
        <w:trPr>
          <w:trHeight w:val="624"/>
        </w:trPr>
        <w:tc>
          <w:tcPr>
            <w:tcW w:w="28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E666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b/>
              </w:rPr>
              <w:t xml:space="preserve">9.2. Zaproponowane formy i metody pracy są zgodne </w:t>
            </w:r>
            <w:r>
              <w:rPr>
                <w:b/>
              </w:rPr>
              <w:br/>
              <w:t>z podejściem metodycznym/ dydaktycznym zaprezentowanym w programie nauczania.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</w:pP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7110" w:rsidRDefault="009B7110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B7110" w:rsidRDefault="009B7110"/>
    <w:p w:rsidR="009B7110" w:rsidRDefault="009B7110"/>
    <w:sectPr w:rsidR="009B7110">
      <w:headerReference w:type="default" r:id="rId7"/>
      <w:footerReference w:type="default" r:id="rId8"/>
      <w:pgSz w:w="16838" w:h="11906" w:orient="landscape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D6" w:rsidRDefault="00F04DD6">
      <w:pPr>
        <w:spacing w:after="0" w:line="240" w:lineRule="auto"/>
      </w:pPr>
      <w:r>
        <w:separator/>
      </w:r>
    </w:p>
  </w:endnote>
  <w:endnote w:type="continuationSeparator" w:id="0">
    <w:p w:rsidR="00F04DD6" w:rsidRDefault="00F0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10" w:rsidRDefault="00E66660">
    <w:pPr>
      <w:jc w:val="right"/>
    </w:pPr>
    <w:r>
      <w:t xml:space="preserve">                                             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6721DB">
      <w:rPr>
        <w:noProof/>
      </w:rPr>
      <w:t>3</w:t>
    </w:r>
    <w:r>
      <w:fldChar w:fldCharType="end"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43180</wp:posOffset>
          </wp:positionH>
          <wp:positionV relativeFrom="paragraph">
            <wp:posOffset>-53338</wp:posOffset>
          </wp:positionV>
          <wp:extent cx="1627505" cy="71945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750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6772910</wp:posOffset>
          </wp:positionH>
          <wp:positionV relativeFrom="paragraph">
            <wp:posOffset>-72389</wp:posOffset>
          </wp:positionV>
          <wp:extent cx="2054225" cy="74358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4225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D6" w:rsidRDefault="00F04DD6">
      <w:pPr>
        <w:spacing w:after="0" w:line="240" w:lineRule="auto"/>
      </w:pPr>
      <w:r>
        <w:separator/>
      </w:r>
    </w:p>
  </w:footnote>
  <w:footnote w:type="continuationSeparator" w:id="0">
    <w:p w:rsidR="00F04DD6" w:rsidRDefault="00F0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9E" w:rsidRDefault="008A2F9E">
    <w:pPr>
      <w:pStyle w:val="Nagwek"/>
    </w:pPr>
  </w:p>
  <w:p w:rsidR="008A2F9E" w:rsidRDefault="008A2F9E">
    <w:pPr>
      <w:pStyle w:val="Nagwek"/>
    </w:pPr>
  </w:p>
  <w:p w:rsidR="008A2F9E" w:rsidRDefault="008A2F9E">
    <w:pPr>
      <w:pStyle w:val="Nagwek"/>
    </w:pPr>
  </w:p>
  <w:p w:rsidR="008A2F9E" w:rsidRDefault="008A2F9E">
    <w:pPr>
      <w:pStyle w:val="Nagwek"/>
    </w:pPr>
  </w:p>
  <w:p w:rsidR="009B7110" w:rsidRPr="006721DB" w:rsidRDefault="008A2F9E" w:rsidP="006721DB">
    <w:pPr>
      <w:pStyle w:val="Nagwek"/>
      <w:jc w:val="right"/>
      <w:rPr>
        <w:i/>
      </w:rPr>
    </w:pPr>
    <w:r w:rsidRPr="006721DB">
      <w:rPr>
        <w:i/>
      </w:rPr>
      <w:t xml:space="preserve">Załącznik </w:t>
    </w:r>
    <w:r w:rsidR="001F1316" w:rsidRPr="006721DB">
      <w:rPr>
        <w:i/>
      </w:rPr>
      <w:t xml:space="preserve">nr </w:t>
    </w:r>
    <w:r w:rsidRPr="006721DB">
      <w:rPr>
        <w:i/>
      </w:rPr>
      <w:t>1c</w:t>
    </w:r>
    <w:r w:rsidR="006721DB" w:rsidRPr="006721DB">
      <w:rPr>
        <w:i/>
      </w:rPr>
      <w:t xml:space="preserve"> - do opisu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10"/>
    <w:rsid w:val="001F1316"/>
    <w:rsid w:val="006721DB"/>
    <w:rsid w:val="008A2F9E"/>
    <w:rsid w:val="009B7110"/>
    <w:rsid w:val="00E66660"/>
    <w:rsid w:val="00F0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1489"/>
  <w15:docId w15:val="{6AA47D3C-E190-4385-8318-F94CEFE4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51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E5711"/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5711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5711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ListLabel1">
    <w:name w:val="ListLabel 1"/>
    <w:qFormat/>
    <w:rPr>
      <w:rFonts w:cs="Calibri"/>
      <w:b/>
      <w:sz w:val="22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BF36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71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E571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57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10eP00adn+fgUQKoIrBkhR7Ow==">AMUW2mVZszEoFJACrm7KsDFDO6fW4Crvn5b0uhyhcxWOJs47rlwDIe7oMaSk6/MAo9FTdVwpfCYe8+FlC2+igfLfniPwjMh8MNwhDsL14hQ5Gz68WI/ze3mOCs8igEICyf361lLc2/9y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Anna Wesołowska</cp:lastModifiedBy>
  <cp:revision>4</cp:revision>
  <dcterms:created xsi:type="dcterms:W3CDTF">2020-12-17T06:05:00Z</dcterms:created>
  <dcterms:modified xsi:type="dcterms:W3CDTF">2023-06-05T11:49:00Z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