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16" w:rsidRDefault="00953416">
      <w:pPr>
        <w:widowControl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</w:p>
    <w:p w:rsidR="00953416" w:rsidRDefault="00953416">
      <w:pPr>
        <w:widowControl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3416" w:rsidRDefault="00953416">
      <w:pPr>
        <w:widowControl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3416" w:rsidRDefault="00953416">
      <w:pPr>
        <w:widowControl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4003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5647"/>
        <w:gridCol w:w="1304"/>
        <w:gridCol w:w="1304"/>
        <w:gridCol w:w="2924"/>
      </w:tblGrid>
      <w:tr w:rsidR="00953416">
        <w:trPr>
          <w:trHeight w:val="810"/>
        </w:trPr>
        <w:tc>
          <w:tcPr>
            <w:tcW w:w="1400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C5E7"/>
            <w:vAlign w:val="center"/>
          </w:tcPr>
          <w:p w:rsidR="00953416" w:rsidRDefault="00775AA5">
            <w:pPr>
              <w:widowControl/>
              <w:shd w:val="clear" w:color="auto" w:fill="ADC5E7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PORADNIK METODYCZNY</w:t>
            </w:r>
          </w:p>
          <w:p w:rsidR="00953416" w:rsidRDefault="00953416">
            <w:pPr>
              <w:widowControl/>
              <w:shd w:val="clear" w:color="auto" w:fill="ADC5E7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53416">
        <w:trPr>
          <w:trHeight w:val="870"/>
        </w:trPr>
        <w:tc>
          <w:tcPr>
            <w:tcW w:w="14003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C5E7"/>
          </w:tcPr>
          <w:p w:rsidR="00953416" w:rsidRDefault="00953416">
            <w:pPr>
              <w:widowControl/>
              <w:shd w:val="clear" w:color="auto" w:fill="ADC5E7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53416" w:rsidRDefault="00775AA5">
            <w:pPr>
              <w:widowControl/>
              <w:shd w:val="clear" w:color="auto" w:fill="ADC5E7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I. KRYTERIA OCENY SPEŁNIENIA STANDARDU  DLA WSZYSTKICH OBSZARÓW - STRUKTURA</w:t>
            </w:r>
          </w:p>
        </w:tc>
      </w:tr>
      <w:tr w:rsidR="00953416">
        <w:trPr>
          <w:trHeight w:val="542"/>
        </w:trPr>
        <w:tc>
          <w:tcPr>
            <w:tcW w:w="2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53416" w:rsidRDefault="00775AA5">
            <w:pPr>
              <w:spacing w:line="240" w:lineRule="auto"/>
              <w:rPr>
                <w:b/>
              </w:rPr>
            </w:pPr>
            <w:r>
              <w:rPr>
                <w:b/>
              </w:rPr>
              <w:t>WYMAGANIE</w:t>
            </w:r>
          </w:p>
        </w:tc>
        <w:tc>
          <w:tcPr>
            <w:tcW w:w="5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53416" w:rsidRDefault="00775AA5">
            <w:pPr>
              <w:spacing w:line="240" w:lineRule="auto"/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 xml:space="preserve">CHARAKTERYSTYKA WYMAGANIA </w:t>
            </w:r>
          </w:p>
        </w:tc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53416" w:rsidRDefault="00775AA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SPEŁNIA </w:t>
            </w:r>
          </w:p>
        </w:tc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53416" w:rsidRDefault="00775AA5">
            <w:pPr>
              <w:spacing w:line="240" w:lineRule="auto"/>
              <w:rPr>
                <w:b/>
              </w:rPr>
            </w:pPr>
            <w:r>
              <w:rPr>
                <w:b/>
              </w:rPr>
              <w:t>NIE  SPEŁNIA</w:t>
            </w: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53416" w:rsidRDefault="00775AA5">
            <w:pPr>
              <w:spacing w:line="240" w:lineRule="auto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953416">
        <w:trPr>
          <w:trHeight w:val="435"/>
        </w:trPr>
        <w:tc>
          <w:tcPr>
            <w:tcW w:w="28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rPr>
                <w:b/>
              </w:rPr>
            </w:pPr>
            <w:r>
              <w:rPr>
                <w:b/>
              </w:rPr>
              <w:t>Struktura poradnika zgodna jest z dokumentacją konkursową.</w:t>
            </w:r>
          </w:p>
        </w:tc>
        <w:tc>
          <w:tcPr>
            <w:tcW w:w="5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WSTĘP</w:t>
            </w:r>
          </w:p>
        </w:tc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630"/>
        </w:trPr>
        <w:tc>
          <w:tcPr>
            <w:tcW w:w="2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after="0" w:line="240" w:lineRule="auto"/>
              <w:ind w:left="32"/>
              <w:rPr>
                <w:b/>
              </w:rPr>
            </w:pPr>
            <w:r>
              <w:rPr>
                <w:b/>
              </w:rPr>
              <w:t xml:space="preserve">ROZDZIAŁ I.  Planowanie pracy w procesie dydaktycznym </w:t>
            </w:r>
            <w:r>
              <w:rPr>
                <w:b/>
              </w:rPr>
              <w:br/>
              <w:t>i wychowawczym</w:t>
            </w:r>
          </w:p>
        </w:tc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  <w:bookmarkStart w:id="2" w:name="_GoBack"/>
            <w:bookmarkEnd w:id="2"/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1005"/>
        </w:trPr>
        <w:tc>
          <w:tcPr>
            <w:tcW w:w="2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114" w:after="114" w:line="240" w:lineRule="auto"/>
              <w:ind w:left="32"/>
              <w:rPr>
                <w:b/>
              </w:rPr>
            </w:pPr>
            <w:r>
              <w:rPr>
                <w:b/>
              </w:rPr>
              <w:t>ROZDZIAŁ II. Nauczanie przedmiotu/ przedmiotów (przypisanych do obszarów przedmiotowych) na danym etapie edukacyjnym</w:t>
            </w:r>
          </w:p>
        </w:tc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510"/>
        </w:trPr>
        <w:tc>
          <w:tcPr>
            <w:tcW w:w="2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ind w:left="32"/>
              <w:rPr>
                <w:b/>
              </w:rPr>
            </w:pPr>
            <w:r>
              <w:rPr>
                <w:b/>
              </w:rPr>
              <w:t>ROZDZIAŁ III. Organizacja procesu dydaktycznego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690"/>
        </w:trPr>
        <w:tc>
          <w:tcPr>
            <w:tcW w:w="2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114" w:after="114" w:line="240" w:lineRule="auto"/>
              <w:ind w:left="32"/>
              <w:rPr>
                <w:b/>
              </w:rPr>
            </w:pPr>
            <w:r>
              <w:rPr>
                <w:b/>
              </w:rPr>
              <w:t xml:space="preserve">ROZDZIAŁ IV. Nauczane treści kształcenia, umiejętności przedmiotowe i </w:t>
            </w:r>
            <w:proofErr w:type="spellStart"/>
            <w:r>
              <w:rPr>
                <w:b/>
              </w:rPr>
              <w:t>ponadprzedmiotowe</w:t>
            </w:r>
            <w:proofErr w:type="spellEnd"/>
            <w:r>
              <w:rPr>
                <w:b/>
              </w:rPr>
              <w:t xml:space="preserve"> (uniwersalne)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615"/>
        </w:trPr>
        <w:tc>
          <w:tcPr>
            <w:tcW w:w="2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ind w:left="32"/>
              <w:rPr>
                <w:b/>
              </w:rPr>
            </w:pPr>
            <w:r>
              <w:rPr>
                <w:b/>
              </w:rPr>
              <w:t>ROZDZIAŁ V. Monitorowanie i ocenianie postępów ucznia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606"/>
        </w:trPr>
        <w:tc>
          <w:tcPr>
            <w:tcW w:w="2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ind w:left="32"/>
              <w:rPr>
                <w:b/>
              </w:rPr>
            </w:pPr>
            <w:r>
              <w:rPr>
                <w:b/>
              </w:rPr>
              <w:t>ROZDZIAŁ VI. Zadania nauczyciela w kontekście realizacji założeń edukacji włączającej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195"/>
        </w:trPr>
        <w:tc>
          <w:tcPr>
            <w:tcW w:w="2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ROZDZIAŁ VII. Scenariusze (5 scenariuszy o objętości 4 stron każdy)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458"/>
        </w:trPr>
        <w:tc>
          <w:tcPr>
            <w:tcW w:w="2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after="0" w:line="240" w:lineRule="auto"/>
              <w:ind w:left="32"/>
              <w:rPr>
                <w:b/>
              </w:rPr>
            </w:pPr>
            <w:r>
              <w:rPr>
                <w:b/>
              </w:rPr>
              <w:t>Bibliografia</w:t>
            </w:r>
          </w:p>
        </w:tc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615"/>
        </w:trPr>
        <w:tc>
          <w:tcPr>
            <w:tcW w:w="2824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after="240" w:line="240" w:lineRule="auto"/>
              <w:rPr>
                <w:b/>
              </w:rPr>
            </w:pPr>
            <w:r>
              <w:rPr>
                <w:b/>
              </w:rPr>
              <w:t xml:space="preserve">Poszczególne części poradnika zgodne są </w:t>
            </w:r>
            <w:r>
              <w:rPr>
                <w:b/>
              </w:rPr>
              <w:br/>
              <w:t>z dokumentacją konkursową.</w:t>
            </w:r>
          </w:p>
        </w:tc>
        <w:tc>
          <w:tcPr>
            <w:tcW w:w="1117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E4E5"/>
            <w:tcMar>
              <w:top w:w="55" w:type="dxa"/>
              <w:bottom w:w="55" w:type="dxa"/>
            </w:tcMar>
            <w:vAlign w:val="center"/>
          </w:tcPr>
          <w:p w:rsidR="00953416" w:rsidRDefault="00775AA5">
            <w:pPr>
              <w:widowControl/>
              <w:spacing w:after="0" w:line="240" w:lineRule="auto"/>
              <w:ind w:left="32"/>
              <w:rPr>
                <w:b/>
              </w:rPr>
            </w:pPr>
            <w:r>
              <w:rPr>
                <w:b/>
              </w:rPr>
              <w:t xml:space="preserve">WSTĘP zawiera </w:t>
            </w:r>
            <w:r>
              <w:rPr>
                <w:b/>
                <w:sz w:val="24"/>
                <w:szCs w:val="24"/>
              </w:rPr>
              <w:t>ogólne</w:t>
            </w:r>
            <w:r>
              <w:rPr>
                <w:b/>
              </w:rPr>
              <w:t xml:space="preserve"> informacje na temat:</w:t>
            </w:r>
          </w:p>
        </w:tc>
      </w:tr>
      <w:tr w:rsidR="00953416">
        <w:trPr>
          <w:trHeight w:val="453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line="240" w:lineRule="auto"/>
              <w:rPr>
                <w:b/>
              </w:rPr>
            </w:pPr>
            <w:r>
              <w:rPr>
                <w:b/>
              </w:rPr>
              <w:t>1. celów i istoty opracowania poradnika;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378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line="240" w:lineRule="auto"/>
              <w:rPr>
                <w:b/>
              </w:rPr>
            </w:pPr>
            <w:r>
              <w:rPr>
                <w:b/>
              </w:rPr>
              <w:t>2. adresata;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960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line="240" w:lineRule="auto"/>
              <w:rPr>
                <w:b/>
              </w:rPr>
            </w:pPr>
            <w:r>
              <w:rPr>
                <w:b/>
              </w:rPr>
              <w:t>3. zawartości merytorycznej poradnika w odniesieniu do przedmiotu/ obszaru przedmiotowego oraz programu, którego dotyczy.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600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17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E4E5"/>
            <w:tcMar>
              <w:top w:w="55" w:type="dxa"/>
              <w:bottom w:w="55" w:type="dxa"/>
            </w:tcMar>
            <w:vAlign w:val="center"/>
          </w:tcPr>
          <w:p w:rsidR="00953416" w:rsidRDefault="00775AA5">
            <w:pPr>
              <w:widowControl/>
              <w:spacing w:after="63" w:line="240" w:lineRule="auto"/>
              <w:rPr>
                <w:b/>
              </w:rPr>
            </w:pPr>
            <w:r>
              <w:rPr>
                <w:b/>
              </w:rPr>
              <w:t>ROZDZIAŁ I „Planowanie pracy w procesie dydaktycznym i wychowawczym” zawiera:</w:t>
            </w:r>
          </w:p>
        </w:tc>
      </w:tr>
      <w:tr w:rsidR="00953416">
        <w:trPr>
          <w:trHeight w:val="795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114" w:after="114" w:line="240" w:lineRule="auto"/>
              <w:rPr>
                <w:b/>
              </w:rPr>
            </w:pPr>
            <w:r>
              <w:rPr>
                <w:b/>
              </w:rPr>
              <w:t>1.1. cele i założenia podstawy programowej stosownie do przedmiotu i etapu edukacyjnego.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795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17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E4E5"/>
            <w:tcMar>
              <w:top w:w="55" w:type="dxa"/>
              <w:bottom w:w="55" w:type="dxa"/>
            </w:tcMar>
            <w:vAlign w:val="center"/>
          </w:tcPr>
          <w:p w:rsidR="00953416" w:rsidRDefault="00775AA5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ROZDZIAŁ II „Nauczanie przedmiotu/ przedmiotów (przypisanych do obszarów przedmiotowych) na danym etapie edukacyjnym” uwzględnia:</w:t>
            </w:r>
          </w:p>
        </w:tc>
      </w:tr>
      <w:tr w:rsidR="00953416">
        <w:trPr>
          <w:trHeight w:val="423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line="240" w:lineRule="auto"/>
              <w:rPr>
                <w:b/>
              </w:rPr>
            </w:pPr>
            <w:r>
              <w:rPr>
                <w:b/>
              </w:rPr>
              <w:t>2.1. zasady nauczania;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513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line="240" w:lineRule="auto"/>
              <w:rPr>
                <w:b/>
              </w:rPr>
            </w:pPr>
            <w:r>
              <w:rPr>
                <w:b/>
              </w:rPr>
              <w:t>2.2. metody i strategie nauczania;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498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line="240" w:lineRule="auto"/>
              <w:rPr>
                <w:b/>
              </w:rPr>
            </w:pPr>
            <w:r>
              <w:rPr>
                <w:b/>
              </w:rPr>
              <w:t>2.3. kompetencje kluczowe;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453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line="240" w:lineRule="auto"/>
              <w:rPr>
                <w:b/>
              </w:rPr>
            </w:pPr>
            <w:r>
              <w:rPr>
                <w:b/>
              </w:rPr>
              <w:t>2.4. interdyscyplinarność;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647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line="240" w:lineRule="auto"/>
              <w:rPr>
                <w:b/>
              </w:rPr>
            </w:pPr>
            <w:r>
              <w:rPr>
                <w:b/>
              </w:rPr>
              <w:t>2.5. zasady projektowania uniwersalnego i specjalne potrzeby edukacyjne.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645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17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E4E5"/>
            <w:tcMar>
              <w:top w:w="55" w:type="dxa"/>
              <w:bottom w:w="55" w:type="dxa"/>
            </w:tcMar>
            <w:vAlign w:val="center"/>
          </w:tcPr>
          <w:p w:rsidR="00953416" w:rsidRDefault="00775AA5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ROZDZIAŁ III „Organizacja procesu dydaktycznego” zawiera:</w:t>
            </w:r>
          </w:p>
        </w:tc>
      </w:tr>
      <w:tr w:rsidR="00953416">
        <w:trPr>
          <w:trHeight w:val="722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line="240" w:lineRule="auto"/>
              <w:rPr>
                <w:b/>
              </w:rPr>
            </w:pPr>
            <w:r>
              <w:rPr>
                <w:b/>
              </w:rPr>
              <w:t>3.1. zasady pracy na lekcji danego przedmiotu/ obszaru przedmiotowego;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722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line="240" w:lineRule="auto"/>
              <w:rPr>
                <w:b/>
              </w:rPr>
            </w:pPr>
            <w:r>
              <w:rPr>
                <w:b/>
              </w:rPr>
              <w:t>3.2. cele i założenia pracy z klasą zróżnicowaną pod względem zróżnicowanych potrzeb edukacyjnych;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900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line="240" w:lineRule="auto"/>
              <w:rPr>
                <w:b/>
              </w:rPr>
            </w:pPr>
            <w:r>
              <w:rPr>
                <w:b/>
              </w:rPr>
              <w:t>3.3. opis podejścia zgodnego z założeniami edukacji włączającej w pracy z klasą zróżnicowaną pod względem potrzeb edukacyjnych;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1500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line="240" w:lineRule="auto"/>
              <w:rPr>
                <w:b/>
              </w:rPr>
            </w:pPr>
            <w:r>
              <w:rPr>
                <w:b/>
              </w:rPr>
              <w:t xml:space="preserve">3.4. opis odpowiednich warunków i sposobów realizacji podstawy programowej kształcenia ogólnego (przygotowanie lekcji, organizacja przestrzeni </w:t>
            </w:r>
            <w:r>
              <w:rPr>
                <w:b/>
              </w:rPr>
              <w:br/>
              <w:t>i przygotowanie pomocy dydaktycznych, komunikowanie się z uczniem i z grupą uczniów).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600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17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E4E5"/>
            <w:tcMar>
              <w:top w:w="55" w:type="dxa"/>
              <w:bottom w:w="55" w:type="dxa"/>
            </w:tcMar>
            <w:vAlign w:val="center"/>
          </w:tcPr>
          <w:p w:rsidR="00953416" w:rsidRDefault="00775AA5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ROZDZIAŁ IV „Nauczane treści kształcenia” uwzględnia:</w:t>
            </w:r>
          </w:p>
        </w:tc>
      </w:tr>
      <w:tr w:rsidR="00953416">
        <w:trPr>
          <w:trHeight w:val="468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line="240" w:lineRule="auto"/>
              <w:rPr>
                <w:b/>
              </w:rPr>
            </w:pPr>
            <w:r>
              <w:rPr>
                <w:b/>
              </w:rPr>
              <w:t>4.1. umiejętności przedmiotowe;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525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line="240" w:lineRule="auto"/>
              <w:rPr>
                <w:b/>
              </w:rPr>
            </w:pPr>
            <w:r>
              <w:rPr>
                <w:b/>
              </w:rPr>
              <w:t xml:space="preserve">4.2. umiejętności </w:t>
            </w:r>
            <w:proofErr w:type="spellStart"/>
            <w:r>
              <w:rPr>
                <w:b/>
              </w:rPr>
              <w:t>ponadprzedmiotowe</w:t>
            </w:r>
            <w:proofErr w:type="spellEnd"/>
            <w:r>
              <w:rPr>
                <w:b/>
              </w:rPr>
              <w:t xml:space="preserve"> (uniwersalne);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1035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line="240" w:lineRule="auto"/>
              <w:rPr>
                <w:b/>
              </w:rPr>
            </w:pPr>
            <w:r>
              <w:rPr>
                <w:b/>
              </w:rPr>
              <w:t>4.3. przykłady wdrożenia</w:t>
            </w:r>
            <w:r>
              <w:t xml:space="preserve"> </w:t>
            </w:r>
            <w:r>
              <w:rPr>
                <w:b/>
              </w:rPr>
              <w:t>działań wspierających kształtowanie kompetencji kluczowych i umiejętności miękkich.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540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17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E4E5"/>
            <w:tcMar>
              <w:top w:w="55" w:type="dxa"/>
              <w:bottom w:w="55" w:type="dxa"/>
            </w:tcMar>
            <w:vAlign w:val="center"/>
          </w:tcPr>
          <w:p w:rsidR="00953416" w:rsidRDefault="00775AA5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ROZDZIAŁ V „Monitorowanie i ocenianie postępów ucznia” uwzględnia:</w:t>
            </w:r>
          </w:p>
        </w:tc>
      </w:tr>
      <w:tr w:rsidR="00953416">
        <w:trPr>
          <w:trHeight w:val="752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line="240" w:lineRule="auto"/>
              <w:rPr>
                <w:b/>
              </w:rPr>
            </w:pPr>
            <w:r>
              <w:rPr>
                <w:b/>
              </w:rPr>
              <w:t>5.1. sposoby monitorowania i oceniania postępów ucznia</w:t>
            </w:r>
            <w:r>
              <w:rPr>
                <w:b/>
              </w:rPr>
              <w:br/>
              <w:t xml:space="preserve"> z uwzględnieniem specyfiki danego przedmiotu;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722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line="240" w:lineRule="auto"/>
              <w:rPr>
                <w:b/>
              </w:rPr>
            </w:pPr>
            <w:r>
              <w:rPr>
                <w:b/>
              </w:rPr>
              <w:t xml:space="preserve">5.2. sposoby monitorowania i oceniania postępów ucznia </w:t>
            </w:r>
            <w:r>
              <w:rPr>
                <w:b/>
              </w:rPr>
              <w:br/>
              <w:t>z uwzględnieniem etapu edukacyjnego;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885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line="240" w:lineRule="auto"/>
              <w:rPr>
                <w:b/>
              </w:rPr>
            </w:pPr>
            <w:r>
              <w:rPr>
                <w:b/>
              </w:rPr>
              <w:t xml:space="preserve">5.3. sposoby monitorowania i oceniania postępów ucznia </w:t>
            </w:r>
            <w:r>
              <w:rPr>
                <w:b/>
              </w:rPr>
              <w:br/>
              <w:t>z uwzględnieniem</w:t>
            </w:r>
            <w:r>
              <w:t xml:space="preserve"> </w:t>
            </w:r>
            <w:r>
              <w:rPr>
                <w:b/>
              </w:rPr>
              <w:t>procesu kształtowania kompetencji kluczowych;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587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line="240" w:lineRule="auto"/>
              <w:rPr>
                <w:b/>
              </w:rPr>
            </w:pPr>
            <w:r>
              <w:rPr>
                <w:b/>
              </w:rPr>
              <w:t>5.4. funkcje i znaczenie oceniania sumującego</w:t>
            </w:r>
            <w:r>
              <w:rPr>
                <w:b/>
              </w:rPr>
              <w:br/>
              <w:t xml:space="preserve"> i kształtującego;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line="240" w:lineRule="auto"/>
              <w:rPr>
                <w:b/>
              </w:rPr>
            </w:pPr>
            <w:r>
              <w:rPr>
                <w:b/>
              </w:rPr>
              <w:t>5.5. ocenianie bieżące, śródroczne i końcowe;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600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line="240" w:lineRule="auto"/>
              <w:rPr>
                <w:b/>
              </w:rPr>
            </w:pPr>
            <w:r>
              <w:rPr>
                <w:b/>
              </w:rPr>
              <w:t>5.6. ocenę koleżeńską i samoocenę;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1005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line="240" w:lineRule="auto"/>
              <w:rPr>
                <w:b/>
              </w:rPr>
            </w:pPr>
            <w:r>
              <w:rPr>
                <w:b/>
              </w:rPr>
              <w:t xml:space="preserve">5.7. sprawdzanie wiedzy i umiejętności z uwzględnieniem spersonalizowanej oceny osiągnięć i postępów uczniów </w:t>
            </w:r>
            <w:r>
              <w:rPr>
                <w:b/>
              </w:rPr>
              <w:br/>
              <w:t>o zróżnicowanych potrzebach edukacyjnych.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600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17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E4E5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after="0" w:line="240" w:lineRule="auto"/>
              <w:ind w:left="32"/>
              <w:rPr>
                <w:b/>
              </w:rPr>
            </w:pPr>
            <w:r>
              <w:rPr>
                <w:b/>
              </w:rPr>
              <w:t>ROZDZIAŁ VI „Zadania nauczyciela w kontekście realizacji założeń edukacji włączającej” uwzględnia:</w:t>
            </w:r>
          </w:p>
        </w:tc>
      </w:tr>
      <w:tr w:rsidR="00953416">
        <w:trPr>
          <w:trHeight w:val="969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257" w:line="240" w:lineRule="auto"/>
              <w:rPr>
                <w:b/>
              </w:rPr>
            </w:pPr>
            <w:r>
              <w:rPr>
                <w:b/>
              </w:rPr>
              <w:t>6.1. diagnozę potrzeb rozwojowych i edukacyjnych uczniów podczas zajęć – szanse i możliwości obserwacji pedagogicznej;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507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257" w:line="240" w:lineRule="auto"/>
              <w:rPr>
                <w:b/>
              </w:rPr>
            </w:pPr>
            <w:r>
              <w:rPr>
                <w:b/>
              </w:rPr>
              <w:t>6.2. specjalistyczne dostosowania;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450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257" w:line="240" w:lineRule="auto"/>
              <w:rPr>
                <w:b/>
              </w:rPr>
            </w:pPr>
            <w:r>
              <w:rPr>
                <w:b/>
              </w:rPr>
              <w:t>6.3. partnerstwo z rodzicami; rola i zasady tej współpracy;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507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257" w:line="240" w:lineRule="auto"/>
              <w:rPr>
                <w:b/>
              </w:rPr>
            </w:pPr>
            <w:r>
              <w:rPr>
                <w:b/>
              </w:rPr>
              <w:t>6.4. zasady współpracy z personelem;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1328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257" w:line="240" w:lineRule="auto"/>
              <w:rPr>
                <w:b/>
              </w:rPr>
            </w:pPr>
            <w:r>
              <w:rPr>
                <w:b/>
              </w:rPr>
              <w:t>6.5. opracowanie sposobu monitorowania postępów ucznia z uwzględnieniem różnych potrzeb edukacyjnych (w tym uwarunkowań wynikających z różnych możliwości psychofizycznych i zachowania motywującej funkcji oceny);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521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257" w:line="240" w:lineRule="auto"/>
              <w:rPr>
                <w:b/>
              </w:rPr>
            </w:pPr>
            <w:r>
              <w:rPr>
                <w:b/>
              </w:rPr>
              <w:t>6.6. przykłady dobrych praktyk pokazujące systemowe rozwijanie szeroko rozumianych kompetencji społecznych.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615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17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E4E5"/>
            <w:tcMar>
              <w:top w:w="55" w:type="dxa"/>
              <w:bottom w:w="55" w:type="dxa"/>
            </w:tcMar>
            <w:vAlign w:val="center"/>
          </w:tcPr>
          <w:p w:rsidR="00953416" w:rsidRDefault="00775AA5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ROZDZIAŁ VII. Scenariusze:</w:t>
            </w:r>
          </w:p>
        </w:tc>
      </w:tr>
      <w:tr w:rsidR="00953416">
        <w:trPr>
          <w:trHeight w:val="525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7.1. zawierają wyczerpujący opis przebiegu lekcji;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783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rPr>
                <w:b/>
              </w:rPr>
            </w:pPr>
            <w:r>
              <w:rPr>
                <w:b/>
              </w:rPr>
              <w:t>7.2.  zawierają przykłady wykorzystania e-materiałów edukacyjnych dostępnych na Zintegrowanej Platformie Edukacyjnej;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783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rPr>
                <w:b/>
              </w:rPr>
            </w:pPr>
            <w:r>
              <w:rPr>
                <w:b/>
              </w:rPr>
              <w:t>7.3. są spójne merytorycznie i metodycznie z treściami poradnika.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615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117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E4E5"/>
            <w:tcMar>
              <w:top w:w="55" w:type="dxa"/>
              <w:bottom w:w="55" w:type="dxa"/>
            </w:tcMar>
            <w:vAlign w:val="center"/>
          </w:tcPr>
          <w:p w:rsidR="00953416" w:rsidRDefault="00775AA5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Bibliografia zawiera:</w:t>
            </w:r>
          </w:p>
        </w:tc>
      </w:tr>
      <w:tr w:rsidR="00953416">
        <w:trPr>
          <w:trHeight w:val="582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257" w:line="240" w:lineRule="auto"/>
              <w:rPr>
                <w:b/>
              </w:rPr>
            </w:pPr>
            <w:r>
              <w:rPr>
                <w:b/>
              </w:rPr>
              <w:t>8.1. spis zalecanej lektury uzupełniającej.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915"/>
        </w:trPr>
        <w:tc>
          <w:tcPr>
            <w:tcW w:w="282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:rsidR="00953416" w:rsidRDefault="00953416"/>
        </w:tc>
        <w:tc>
          <w:tcPr>
            <w:tcW w:w="5647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:rsidR="00953416" w:rsidRDefault="00953416">
            <w:pPr>
              <w:widowControl/>
              <w:spacing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735"/>
        </w:trPr>
        <w:tc>
          <w:tcPr>
            <w:tcW w:w="1400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DC5E7"/>
            <w:tcMar>
              <w:top w:w="55" w:type="dxa"/>
              <w:bottom w:w="55" w:type="dxa"/>
            </w:tcMar>
            <w:vAlign w:val="center"/>
          </w:tcPr>
          <w:p w:rsidR="00953416" w:rsidRDefault="00775AA5">
            <w:pPr>
              <w:widowControl/>
              <w:spacing w:after="63" w:line="240" w:lineRule="auto"/>
              <w:rPr>
                <w:b/>
              </w:rPr>
            </w:pPr>
            <w:r>
              <w:rPr>
                <w:b/>
              </w:rPr>
              <w:t>II. SZCZEGÓŁOWE KRYTERIA - OCENY SPEŁNIENIA STANDARDU DLA WSZYSTKICH OBSZARÓW – OCENA POSZCZEGÓLNYCH CZĘŚCI PORADNIKA</w:t>
            </w:r>
          </w:p>
        </w:tc>
      </w:tr>
      <w:tr w:rsidR="00953416">
        <w:trPr>
          <w:trHeight w:val="746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257" w:line="240" w:lineRule="auto"/>
              <w:rPr>
                <w:b/>
              </w:rPr>
            </w:pPr>
            <w:r>
              <w:rPr>
                <w:b/>
              </w:rPr>
              <w:t>CHARAKTERYSTYKA WYMAGANIA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257" w:line="240" w:lineRule="auto"/>
              <w:rPr>
                <w:b/>
              </w:rPr>
            </w:pPr>
            <w:r>
              <w:rPr>
                <w:b/>
              </w:rPr>
              <w:t>SPEŁNIA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257" w:line="240" w:lineRule="auto"/>
              <w:rPr>
                <w:b/>
              </w:rPr>
            </w:pPr>
            <w:r>
              <w:rPr>
                <w:b/>
              </w:rPr>
              <w:t>NIE SPEŁNIA</w:t>
            </w: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257" w:line="240" w:lineRule="auto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953416">
        <w:trPr>
          <w:trHeight w:val="645"/>
        </w:trPr>
        <w:tc>
          <w:tcPr>
            <w:tcW w:w="14003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E4E5"/>
            <w:tcMar>
              <w:top w:w="55" w:type="dxa"/>
              <w:bottom w:w="55" w:type="dxa"/>
            </w:tcMar>
            <w:vAlign w:val="center"/>
          </w:tcPr>
          <w:p w:rsidR="00953416" w:rsidRDefault="00775AA5">
            <w:pPr>
              <w:widowControl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WSTĘP</w:t>
            </w:r>
          </w:p>
        </w:tc>
      </w:tr>
      <w:tr w:rsidR="00953416">
        <w:trPr>
          <w:trHeight w:val="375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after="63" w:line="240" w:lineRule="auto"/>
              <w:rPr>
                <w:b/>
              </w:rPr>
            </w:pPr>
            <w:r>
              <w:rPr>
                <w:b/>
              </w:rPr>
              <w:t xml:space="preserve">1. Wskazane cele i istota opracowania poradnika są spójne z programem/ programami, </w:t>
            </w:r>
            <w:r>
              <w:rPr>
                <w:b/>
              </w:rPr>
              <w:br/>
              <w:t>do których opracowano poradnik.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1027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120" w:line="240" w:lineRule="auto"/>
              <w:rPr>
                <w:b/>
              </w:rPr>
            </w:pPr>
            <w:r>
              <w:rPr>
                <w:b/>
              </w:rPr>
              <w:t>2. Poradnik jest przeznaczony dla adresatów wskazanych w programie/ -mach nauczania, nauczycieli rozpoczynających pracę w zawodzie oraz nauczycieli poszukujących innowacyjnych rozwiązań dydaktycznych.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660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after="143" w:line="240" w:lineRule="auto"/>
              <w:rPr>
                <w:b/>
              </w:rPr>
            </w:pPr>
            <w:r>
              <w:rPr>
                <w:b/>
              </w:rPr>
              <w:t>3. Podano wszystkie informacje na temat przedmiotu, etapu edukacyjnego, typu szkoły, realizowanej podstawy programowej z uwzględnieniem programu/ -ów nauczania.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675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Podano informacje na temat przyjętych założeń teoretyczno-naukowych poradnika </w:t>
            </w:r>
            <w:r>
              <w:rPr>
                <w:b/>
              </w:rPr>
              <w:br/>
              <w:t>z uwzględnieniem tych opisanych w programie/ -ach nauczania.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969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257" w:line="240" w:lineRule="auto"/>
              <w:rPr>
                <w:b/>
              </w:rPr>
            </w:pPr>
            <w:r>
              <w:rPr>
                <w:b/>
              </w:rPr>
              <w:t xml:space="preserve">5. Z treści wynika, że poradnik będzie narzędziem uzupełniającym program/ -my nauczania i towarzyszące mu/ im scenariusze lekcji (nie dot. programów tworzonych w </w:t>
            </w:r>
            <w:r>
              <w:rPr>
                <w:b/>
              </w:rPr>
              <w:lastRenderedPageBreak/>
              <w:t xml:space="preserve">konkursie) </w:t>
            </w:r>
            <w:r>
              <w:rPr>
                <w:b/>
              </w:rPr>
              <w:br/>
              <w:t>o szczegółowe wskazówki dotyczące realizacji procesu kształcenia.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806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257" w:line="240" w:lineRule="auto"/>
              <w:rPr>
                <w:b/>
              </w:rPr>
            </w:pPr>
            <w:r>
              <w:rPr>
                <w:b/>
              </w:rPr>
              <w:t>6. Przedstawione założenia teoretyczne są zgodne z ogólnie przyjętym podejściem, poprawne pod względem merytorycznym i dydaktycznym.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750"/>
        </w:trPr>
        <w:tc>
          <w:tcPr>
            <w:tcW w:w="14003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E4E5"/>
            <w:tcMar>
              <w:top w:w="55" w:type="dxa"/>
              <w:bottom w:w="55" w:type="dxa"/>
            </w:tcMar>
            <w:vAlign w:val="center"/>
          </w:tcPr>
          <w:p w:rsidR="00953416" w:rsidRDefault="00775AA5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ROZDZIAŁ I. Planowanie pracy w procesie dydaktycznym i wychowawczym</w:t>
            </w:r>
          </w:p>
        </w:tc>
      </w:tr>
      <w:tr w:rsidR="00953416">
        <w:trPr>
          <w:trHeight w:val="761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257" w:line="240" w:lineRule="auto"/>
              <w:rPr>
                <w:b/>
              </w:rPr>
            </w:pPr>
            <w:r>
              <w:rPr>
                <w:b/>
              </w:rPr>
              <w:t>1.1. Propozycja planowania pracy spójna jest z celami i założeniami podstawy programowej danego przedmiotu.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1044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257" w:line="240" w:lineRule="auto"/>
              <w:rPr>
                <w:b/>
              </w:rPr>
            </w:pPr>
            <w:r>
              <w:rPr>
                <w:b/>
              </w:rPr>
              <w:t xml:space="preserve">1.2. Sposoby planowania pracy nawiązują do wskazówek zawartych w programie/ -ach nauczania i rozszerzają jego wskazówki dla nauczyciela z mniejszym doświadczeniem </w:t>
            </w:r>
            <w:r>
              <w:rPr>
                <w:b/>
              </w:rPr>
              <w:br/>
              <w:t>w pracy dydaktycznej.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522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257" w:line="240" w:lineRule="auto"/>
              <w:rPr>
                <w:b/>
              </w:rPr>
            </w:pPr>
            <w:r>
              <w:rPr>
                <w:b/>
              </w:rPr>
              <w:t>1.3. Podano wskazówki, w jaki sposób planować pracę w trybie nauczania zdalnego.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701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257" w:line="240" w:lineRule="auto"/>
              <w:rPr>
                <w:b/>
              </w:rPr>
            </w:pPr>
            <w:r>
              <w:rPr>
                <w:b/>
              </w:rPr>
              <w:t>1.4. Sposoby planowania uwzględniają pracę z uczniami o zróżnicowanych potrzebach edukacyjnych. *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705"/>
        </w:trPr>
        <w:tc>
          <w:tcPr>
            <w:tcW w:w="14003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E4E5"/>
            <w:tcMar>
              <w:top w:w="55" w:type="dxa"/>
              <w:bottom w:w="55" w:type="dxa"/>
            </w:tcMar>
            <w:vAlign w:val="center"/>
          </w:tcPr>
          <w:p w:rsidR="00953416" w:rsidRDefault="00775AA5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ROZDZIAŁ II. Nauczanie przedmiotu/przedmiotów (przypisanych do obszarów przedmiotowych) na danym etapie edukacyjnym</w:t>
            </w:r>
          </w:p>
        </w:tc>
      </w:tr>
      <w:tr w:rsidR="00953416">
        <w:trPr>
          <w:trHeight w:val="720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rPr>
                <w:b/>
              </w:rPr>
            </w:pPr>
            <w:r>
              <w:rPr>
                <w:b/>
              </w:rPr>
              <w:lastRenderedPageBreak/>
              <w:t>2.1. Proponowane zasady nauczania są spójne z zasadami proponowanymi w programie/ -ach nauczania.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2459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rPr>
                <w:b/>
              </w:rPr>
            </w:pPr>
            <w:r>
              <w:rPr>
                <w:b/>
              </w:rPr>
              <w:t>2.2. Poradnik omawia szczegółowo metody i techniki pracy zaproponowane w programie/ -mach w zakresie:</w:t>
            </w:r>
          </w:p>
          <w:p w:rsidR="00953416" w:rsidRDefault="00775AA5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dostosowania oraz możliwości dostosowania do danej sytuacji dydaktycznej;</w:t>
            </w:r>
          </w:p>
          <w:p w:rsidR="00953416" w:rsidRDefault="00775AA5">
            <w:pPr>
              <w:widowControl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dostosowania ich do wieku, zainteresowań i potrzeb ucznia;</w:t>
            </w:r>
          </w:p>
          <w:p w:rsidR="00953416" w:rsidRDefault="00775AA5">
            <w:pPr>
              <w:widowControl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dostosowania do zróżnicowanych potrzeb edukacyjnych;</w:t>
            </w:r>
          </w:p>
          <w:p w:rsidR="00953416" w:rsidRDefault="00775AA5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przydatności w procesie kształtowania kompetencji kluczowych;</w:t>
            </w:r>
          </w:p>
          <w:p w:rsidR="00953416" w:rsidRDefault="00775AA5">
            <w:pPr>
              <w:widowControl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wykorzystania ICT w realizacji celów kształcenia.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686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257" w:line="240" w:lineRule="auto"/>
              <w:rPr>
                <w:b/>
              </w:rPr>
            </w:pPr>
            <w:r>
              <w:rPr>
                <w:b/>
              </w:rPr>
              <w:t>2.3. Poradnik zawiera propozycje metod i technik pracy z wykorzystaniem ICT do pracy</w:t>
            </w:r>
            <w:r>
              <w:rPr>
                <w:b/>
              </w:rPr>
              <w:br/>
              <w:t xml:space="preserve"> w trybie zdalnym.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864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257" w:line="240" w:lineRule="auto"/>
              <w:rPr>
                <w:b/>
              </w:rPr>
            </w:pPr>
            <w:r>
              <w:rPr>
                <w:b/>
              </w:rPr>
              <w:t>2.4. Podano strategie uczenia się przydatne w rozwijaniu umiejętności samodzielnego uczenia się i odpowiedzialności za własne efekty edukacyjne oraz zilustrowano je przykładami z programu/-ów oraz scenariuszy zajęć/ lekcji.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686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257" w:line="240" w:lineRule="auto"/>
              <w:rPr>
                <w:b/>
              </w:rPr>
            </w:pPr>
            <w:r>
              <w:rPr>
                <w:b/>
              </w:rPr>
              <w:t>2.5. Poradnik opisuje rolę motywacji oraz podaje przykłady jak budować motywację wewnętrzną ucznia.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939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257" w:line="240" w:lineRule="auto"/>
              <w:rPr>
                <w:b/>
              </w:rPr>
            </w:pPr>
            <w:r>
              <w:rPr>
                <w:b/>
              </w:rPr>
              <w:t>2.6. Sposób realizacji celów kształcenia sprzyja kształtowaniu kompetencji i umiejętności miękkich przydatnych do realizacji własnych celów ucznia oraz w przyszłości  na rynku pracy.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821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257" w:line="240" w:lineRule="auto"/>
              <w:rPr>
                <w:b/>
              </w:rPr>
            </w:pPr>
            <w:r>
              <w:rPr>
                <w:b/>
              </w:rPr>
              <w:lastRenderedPageBreak/>
              <w:t>2.7. Poradnik opisuje rolę kształtowania kompetencji kluczowych w przygotowaniu ucznia do realizacji własnych celów oraz w przyszłości na rynku pracy.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701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257" w:line="240" w:lineRule="auto"/>
              <w:rPr>
                <w:b/>
              </w:rPr>
            </w:pPr>
            <w:r>
              <w:rPr>
                <w:b/>
              </w:rPr>
              <w:t>2.8. Poradnik  odnosi się do procesu rozwijania kompetencji kluczowych i umiejętności miękkich oraz podaje praktyczne przykłady jak je rozwijać na lekcjach danego przedmiotu.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969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257" w:line="240" w:lineRule="auto"/>
              <w:rPr>
                <w:b/>
              </w:rPr>
            </w:pPr>
            <w:r>
              <w:rPr>
                <w:b/>
              </w:rPr>
              <w:t xml:space="preserve">2.9. Poradnik odnosi się do  przykładów interdyscyplinarności wskazanych w programie/ -ach oraz omawia rolę interdyscyplinarnego podejścia w nauczaniu danego przedmiotu </w:t>
            </w:r>
            <w:r>
              <w:rPr>
                <w:b/>
              </w:rPr>
              <w:br/>
              <w:t>w holistycznym rozwoju ucznia.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1091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257" w:line="240" w:lineRule="auto"/>
              <w:rPr>
                <w:b/>
              </w:rPr>
            </w:pPr>
            <w:r>
              <w:rPr>
                <w:b/>
              </w:rPr>
              <w:t>2.10. Poradnik omawia propozycje zawarte w programie/-ach dotyczące realizacji kształcenia z uwzględnieniem zasad</w:t>
            </w:r>
            <w:r>
              <w:t xml:space="preserve"> </w:t>
            </w:r>
            <w:r>
              <w:rPr>
                <w:b/>
              </w:rPr>
              <w:t>projektowania uniwersalnego i zróżnicowanych potrzeb edukacyjnych oraz wskazuje ich rolę w kształceniu i wychowaniu uczniów.*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735"/>
        </w:trPr>
        <w:tc>
          <w:tcPr>
            <w:tcW w:w="14003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E4E5"/>
            <w:tcMar>
              <w:top w:w="55" w:type="dxa"/>
              <w:bottom w:w="55" w:type="dxa"/>
            </w:tcMar>
            <w:vAlign w:val="center"/>
          </w:tcPr>
          <w:p w:rsidR="00953416" w:rsidRDefault="00775AA5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Rozdział III. Organizacja procesu dydaktycznego</w:t>
            </w:r>
          </w:p>
        </w:tc>
      </w:tr>
      <w:tr w:rsidR="00953416">
        <w:trPr>
          <w:trHeight w:val="821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257" w:line="240" w:lineRule="auto"/>
              <w:rPr>
                <w:b/>
              </w:rPr>
            </w:pPr>
            <w:r>
              <w:rPr>
                <w:b/>
              </w:rPr>
              <w:t xml:space="preserve">3.1. Omówiono sposób realizacji podstawy programowej danego przedmiotu </w:t>
            </w:r>
            <w:r>
              <w:rPr>
                <w:b/>
              </w:rPr>
              <w:br/>
              <w:t>w odniesieniu do programu/-ów nauczania.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776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257" w:line="240" w:lineRule="auto"/>
              <w:rPr>
                <w:b/>
              </w:rPr>
            </w:pPr>
            <w:r>
              <w:rPr>
                <w:b/>
              </w:rPr>
              <w:t>3.2. Podano propozycje organizacji procesu dydaktycznego uwzględniające zróżnicowane sytuacje dydaktyczne i potrzeby uczniów.*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746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257" w:line="240" w:lineRule="auto"/>
              <w:rPr>
                <w:b/>
              </w:rPr>
            </w:pPr>
            <w:r>
              <w:rPr>
                <w:b/>
              </w:rPr>
              <w:lastRenderedPageBreak/>
              <w:t>3.3. Zawarto wskazówki dotyczące organizacji przestrzeni dydaktycznej oraz przygotowania pomocy dydaktycznych.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731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257" w:line="240" w:lineRule="auto"/>
              <w:rPr>
                <w:b/>
              </w:rPr>
            </w:pPr>
            <w:r>
              <w:rPr>
                <w:b/>
              </w:rPr>
              <w:t>3.4. Zawarto wskazówki dotyczące organizacji procesu dydaktycznego w realiach nauczania zdalnego.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131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257" w:line="240" w:lineRule="auto"/>
              <w:rPr>
                <w:b/>
              </w:rPr>
            </w:pPr>
            <w:r>
              <w:rPr>
                <w:b/>
              </w:rPr>
              <w:t>3.5. Zawarto wskazówki dotyczące komunikacji pomiędzy nauczycielem a uczniami</w:t>
            </w:r>
            <w:r>
              <w:rPr>
                <w:b/>
              </w:rPr>
              <w:br/>
              <w:t xml:space="preserve"> – zarówno w sytuacji lekcji stacjonarnych jak i nauczania zdalnego.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630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rPr>
                <w:b/>
              </w:rPr>
            </w:pPr>
            <w:r>
              <w:rPr>
                <w:b/>
              </w:rPr>
              <w:t>3.6. Omówiono rolę współpracy z rodzicami i podano wskazówki jak ją realizować.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690"/>
        </w:trPr>
        <w:tc>
          <w:tcPr>
            <w:tcW w:w="14003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E4E5"/>
            <w:tcMar>
              <w:top w:w="55" w:type="dxa"/>
              <w:bottom w:w="55" w:type="dxa"/>
            </w:tcMar>
            <w:vAlign w:val="center"/>
          </w:tcPr>
          <w:p w:rsidR="00953416" w:rsidRDefault="00775AA5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ROZDZIAŁ IV. Nauczane treści kształcenia</w:t>
            </w:r>
          </w:p>
        </w:tc>
      </w:tr>
      <w:tr w:rsidR="00953416">
        <w:trPr>
          <w:trHeight w:val="810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240" w:after="0" w:line="240" w:lineRule="auto"/>
              <w:rPr>
                <w:b/>
              </w:rPr>
            </w:pPr>
            <w:r>
              <w:rPr>
                <w:b/>
              </w:rPr>
              <w:t>4.1. Omówiono szczegółowo realizację treści kształcenia zaproponowaną w programie/ -ach nauczania.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675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240" w:after="0" w:line="240" w:lineRule="auto"/>
              <w:rPr>
                <w:b/>
              </w:rPr>
            </w:pPr>
            <w:r>
              <w:rPr>
                <w:b/>
              </w:rPr>
              <w:t xml:space="preserve">4.2. Zaproponowane sposoby realizacji treści kształcenia wspierają rozwój umiejętności przedmiotowych i </w:t>
            </w:r>
            <w:proofErr w:type="spellStart"/>
            <w:r>
              <w:rPr>
                <w:b/>
              </w:rPr>
              <w:t>ponadprzedmiotowych</w:t>
            </w:r>
            <w:proofErr w:type="spellEnd"/>
            <w:r>
              <w:rPr>
                <w:b/>
              </w:rPr>
              <w:t xml:space="preserve"> (uniwersalnych).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735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rPr>
                <w:b/>
              </w:rPr>
            </w:pPr>
            <w:r>
              <w:rPr>
                <w:b/>
              </w:rPr>
              <w:t>4.3. Zaproponowane sposoby realizacji treści kształcenia uwzględniają zróżnicowane potrzeby uczniów.*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720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rPr>
                <w:b/>
              </w:rPr>
            </w:pPr>
            <w:r>
              <w:rPr>
                <w:b/>
              </w:rPr>
              <w:t xml:space="preserve">4.4. Zaproponowane sposoby realizacji treści kształcenia wspierają rozwój kompetencji kluczowych i umiejętności miękkich. 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897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4.5. Sposoby wdrażania  zaplanowanych działań w zakresie rozwijania umiejętności przedmiotowych i </w:t>
            </w:r>
            <w:proofErr w:type="spellStart"/>
            <w:r>
              <w:rPr>
                <w:b/>
              </w:rPr>
              <w:t>ponadprzedmiotowych</w:t>
            </w:r>
            <w:proofErr w:type="spellEnd"/>
            <w:r>
              <w:rPr>
                <w:b/>
              </w:rPr>
              <w:t xml:space="preserve"> oraz kompetencji kluczowych są przydatne dla nauczycieli rozpoczynających pracę w tym zawodzie.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705"/>
        </w:trPr>
        <w:tc>
          <w:tcPr>
            <w:tcW w:w="14003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E4E5"/>
            <w:tcMar>
              <w:top w:w="55" w:type="dxa"/>
              <w:bottom w:w="55" w:type="dxa"/>
            </w:tcMar>
            <w:vAlign w:val="center"/>
          </w:tcPr>
          <w:p w:rsidR="00953416" w:rsidRDefault="00775AA5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ROZDZIAŁ V. Monitorowanie i ocenianie postępów ucznia</w:t>
            </w:r>
          </w:p>
        </w:tc>
      </w:tr>
      <w:tr w:rsidR="00953416">
        <w:trPr>
          <w:trHeight w:val="255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rPr>
                <w:b/>
              </w:rPr>
            </w:pPr>
            <w:r>
              <w:rPr>
                <w:b/>
              </w:rPr>
              <w:t xml:space="preserve">5.1. Zaproponowano system oceniania i ewaluacji spójny z programem nauczania </w:t>
            </w:r>
            <w:r>
              <w:rPr>
                <w:b/>
              </w:rPr>
              <w:br/>
              <w:t>i dostosowany do etapu edukacyjnego.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795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rPr>
                <w:b/>
              </w:rPr>
            </w:pPr>
            <w:r>
              <w:rPr>
                <w:b/>
              </w:rPr>
              <w:t>5.2. Przedstawiono cele monitorowania i diagnozowania postępów ucznia oraz ewaluacji kompetencji kluczowych.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735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rPr>
                <w:b/>
              </w:rPr>
            </w:pPr>
            <w:r>
              <w:rPr>
                <w:b/>
              </w:rPr>
              <w:t xml:space="preserve">5.3. Przedstawiono sposoby monitorowania i diagnozowania postępów ucznia </w:t>
            </w:r>
            <w:r>
              <w:rPr>
                <w:b/>
              </w:rPr>
              <w:br/>
              <w:t>z uwzględnieniem specyfiki danego przedmiotu.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720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rPr>
                <w:b/>
              </w:rPr>
            </w:pPr>
            <w:r>
              <w:rPr>
                <w:b/>
              </w:rPr>
              <w:t xml:space="preserve">5.4. Przedstawiono sposoby monitorowania i diagnozowania postępów ucznia </w:t>
            </w:r>
            <w:r>
              <w:rPr>
                <w:b/>
              </w:rPr>
              <w:br/>
              <w:t>z uwzględnieniem procesu kształtowania kompetencji kluczowych.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705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rPr>
                <w:b/>
              </w:rPr>
            </w:pPr>
            <w:r>
              <w:rPr>
                <w:b/>
              </w:rPr>
              <w:t>5.5. Omówiono cele i sposoby przeprowadzania testów i innych form sprawdzających, adekwatnych do specyfiki przedmiotowej, bieżących, śródrocznych i końcowych.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690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rPr>
                <w:b/>
              </w:rPr>
            </w:pPr>
            <w:r>
              <w:rPr>
                <w:b/>
              </w:rPr>
              <w:t>5.6. Omówiono cele i sposoby przeprowadzania testów i innych form sprawdzających adekwatnych do specyfiki przedmiotowej, które badają przyrost wiedzy i umiejętności.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705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rPr>
                <w:b/>
              </w:rPr>
            </w:pPr>
            <w:r>
              <w:rPr>
                <w:b/>
              </w:rPr>
              <w:t>5.7. Podano rodzaje testów i form sprawdzających adekwatnych do specyfiki przedmiotowej.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660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5.8. Podano wskazówki do przeprowadzania analizy, opracowywania wniosków </w:t>
            </w:r>
            <w:r>
              <w:rPr>
                <w:b/>
              </w:rPr>
              <w:br/>
              <w:t>i rekomendacji w oparciu o wyniki testu.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690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rPr>
                <w:b/>
              </w:rPr>
            </w:pPr>
            <w:r>
              <w:rPr>
                <w:b/>
              </w:rPr>
              <w:t>5.9. Omówiono znaczenie oceniania sumującego i kształtującego dla kształtowania kompetencji kluczowych i uniwersalnych.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897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rPr>
                <w:b/>
              </w:rPr>
            </w:pPr>
            <w:r>
              <w:rPr>
                <w:b/>
              </w:rPr>
              <w:t>5.10. Podano wskazówki do wykorzystywania samooceny, oceny koleżeńskiej do monitorowania i oceniania postępów ucznia.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897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rPr>
                <w:b/>
              </w:rPr>
            </w:pPr>
            <w:r>
              <w:rPr>
                <w:b/>
              </w:rPr>
              <w:t>5.11. Podano przykłady dobrych praktyk w zakresie ewaluacji kompetencji kluczowych dostosowanych do specyfiki przedmiotu i etapu edukacyjnego.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897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rPr>
                <w:b/>
              </w:rPr>
            </w:pPr>
            <w:r>
              <w:rPr>
                <w:b/>
              </w:rPr>
              <w:t xml:space="preserve">5.12. Podano zalecenia odnośnie sposobu diagnozowania postępów ucznia </w:t>
            </w:r>
            <w:r>
              <w:rPr>
                <w:b/>
              </w:rPr>
              <w:br/>
              <w:t>z uwzględnieniem różnych potrzeb i możliwości edukacyjnych (w tym uwarunkowań wynikających z różnych możliwości psychofizycznych i zachowania motywującej funkcji oceny).*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897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rPr>
                <w:b/>
              </w:rPr>
            </w:pPr>
            <w:r>
              <w:rPr>
                <w:b/>
              </w:rPr>
              <w:t xml:space="preserve">5.13. Podano zalecenia dotyczące formułowania spersonalizowanej oceny osiągnięć </w:t>
            </w:r>
            <w:r>
              <w:rPr>
                <w:b/>
              </w:rPr>
              <w:br/>
              <w:t>i postępów ucznia.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897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rPr>
                <w:b/>
              </w:rPr>
            </w:pPr>
            <w:r>
              <w:rPr>
                <w:b/>
              </w:rPr>
              <w:t xml:space="preserve">5.14. Podano zalecenie odnoście badania kompetencji kluczowych ucznia </w:t>
            </w:r>
            <w:r>
              <w:rPr>
                <w:b/>
              </w:rPr>
              <w:br/>
              <w:t>z uwzględnieniem różnych potrzeb i możliwości edukacyjnych (w tym uwarunkowań wynikających z różnych możliwości psychofizycznych i zachowania motywującej funkcji oceny).*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600"/>
        </w:trPr>
        <w:tc>
          <w:tcPr>
            <w:tcW w:w="14003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E4E5"/>
            <w:tcMar>
              <w:top w:w="55" w:type="dxa"/>
              <w:bottom w:w="55" w:type="dxa"/>
            </w:tcMar>
            <w:vAlign w:val="center"/>
          </w:tcPr>
          <w:p w:rsidR="00953416" w:rsidRDefault="00775AA5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ROZDZIAŁ VI. Zadania nauczyciela w kontekście realizacji założeń edukacji włączającej</w:t>
            </w:r>
          </w:p>
        </w:tc>
      </w:tr>
      <w:tr w:rsidR="00953416">
        <w:trPr>
          <w:trHeight w:val="879"/>
        </w:trPr>
        <w:tc>
          <w:tcPr>
            <w:tcW w:w="14003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E4E5"/>
            <w:tcMar>
              <w:top w:w="55" w:type="dxa"/>
              <w:bottom w:w="55" w:type="dxa"/>
            </w:tcMar>
            <w:vAlign w:val="center"/>
          </w:tcPr>
          <w:p w:rsidR="00953416" w:rsidRDefault="00953416">
            <w:pPr>
              <w:widowControl/>
              <w:spacing w:after="0" w:line="240" w:lineRule="auto"/>
              <w:rPr>
                <w:b/>
              </w:rPr>
            </w:pPr>
          </w:p>
          <w:p w:rsidR="00953416" w:rsidRDefault="00775AA5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Zawarto treści w zakresie diagnozowania potrzeb rozwojowych i edukacyjnych uczniów podczas zajęć, wskazano szanse i możliwości obserwacji pedagogicznej.</w:t>
            </w:r>
          </w:p>
          <w:p w:rsidR="00953416" w:rsidRDefault="00953416">
            <w:pPr>
              <w:widowControl/>
              <w:spacing w:after="0" w:line="240" w:lineRule="auto"/>
              <w:rPr>
                <w:b/>
              </w:rPr>
            </w:pPr>
          </w:p>
        </w:tc>
      </w:tr>
      <w:tr w:rsidR="00953416">
        <w:trPr>
          <w:trHeight w:val="934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rPr>
                <w:b/>
              </w:rPr>
            </w:pPr>
            <w:r>
              <w:rPr>
                <w:b/>
              </w:rPr>
              <w:t>6.1.1. Poradnik zawiera ogólne standardy, wytyczne i wskazówki w zakresie diagnozowania potrzeb rozwojowych i edukacyjnych uczniów podczas zajęć realizowanych na danym etapie edukacyjnym w odniesieniu do programu nauczania.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540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183" w:line="240" w:lineRule="auto"/>
              <w:rPr>
                <w:b/>
              </w:rPr>
            </w:pPr>
            <w:r>
              <w:rPr>
                <w:b/>
              </w:rPr>
              <w:t>6.1.2. Poradnik wskazuje na szanse i  możliwości obserwacji pedagogicznej realizowanej na danym etapie edukacyjnym w odniesieniu do programu nauczania.*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810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183" w:line="240" w:lineRule="auto"/>
              <w:rPr>
                <w:b/>
              </w:rPr>
            </w:pPr>
            <w:r>
              <w:rPr>
                <w:b/>
              </w:rPr>
              <w:t>6.1.3. Poradnik zawiera przykład/-y narzędzia/-i do obserwacji pedagogicznej realizowanej na danym etapie edukacyjnym w odniesieniu do programu nauczania.*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897"/>
        </w:trPr>
        <w:tc>
          <w:tcPr>
            <w:tcW w:w="14003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E4E5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rPr>
                <w:b/>
              </w:rPr>
            </w:pPr>
            <w:r>
              <w:rPr>
                <w:b/>
              </w:rPr>
              <w:t>Wskazano na specjalistyczne dostosowania do specjalnych potrzeb edukacyjnych, m.in.:</w:t>
            </w:r>
          </w:p>
          <w:p w:rsidR="00953416" w:rsidRDefault="00775AA5">
            <w:pPr>
              <w:widowControl/>
              <w:numPr>
                <w:ilvl w:val="0"/>
                <w:numId w:val="2"/>
              </w:numPr>
              <w:spacing w:before="120" w:after="0" w:line="240" w:lineRule="auto"/>
              <w:rPr>
                <w:b/>
              </w:rPr>
            </w:pPr>
            <w:r>
              <w:rPr>
                <w:b/>
              </w:rPr>
              <w:t>uczniów z dysfunkcją wzroku;</w:t>
            </w:r>
          </w:p>
          <w:p w:rsidR="00953416" w:rsidRDefault="00775AA5">
            <w:pPr>
              <w:widowControl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uczniów z dysfunkcją słuchu;</w:t>
            </w:r>
          </w:p>
          <w:p w:rsidR="00953416" w:rsidRDefault="00775AA5">
            <w:pPr>
              <w:widowControl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uczniów z ADHD;</w:t>
            </w:r>
          </w:p>
          <w:p w:rsidR="00953416" w:rsidRDefault="00775AA5">
            <w:pPr>
              <w:widowControl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uczniów ze specyficznymi trudnościami w uczeniu się;</w:t>
            </w:r>
          </w:p>
          <w:p w:rsidR="00953416" w:rsidRDefault="00775AA5">
            <w:pPr>
              <w:widowControl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uczniów z niepełnosprawnością ruchową, w tym z afazją;</w:t>
            </w:r>
          </w:p>
          <w:p w:rsidR="00953416" w:rsidRDefault="00775AA5">
            <w:pPr>
              <w:widowControl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uczniów z chorobą przewlekłą;</w:t>
            </w:r>
          </w:p>
          <w:p w:rsidR="00953416" w:rsidRDefault="00775AA5">
            <w:pPr>
              <w:widowControl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uczniów z niedostosowaniem społecznym lub zagrożonym niedostosowaniem społecznym;</w:t>
            </w:r>
          </w:p>
          <w:p w:rsidR="00953416" w:rsidRDefault="00775AA5">
            <w:pPr>
              <w:widowControl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uczniów w sytuacji kryzysowej, traumatycznej;</w:t>
            </w:r>
          </w:p>
          <w:p w:rsidR="00953416" w:rsidRDefault="00775AA5">
            <w:pPr>
              <w:widowControl/>
              <w:numPr>
                <w:ilvl w:val="0"/>
                <w:numId w:val="2"/>
              </w:numPr>
              <w:spacing w:after="120" w:line="240" w:lineRule="auto"/>
              <w:rPr>
                <w:b/>
              </w:rPr>
            </w:pPr>
            <w:r>
              <w:rPr>
                <w:b/>
              </w:rPr>
              <w:t>ucznia zdolnego.</w:t>
            </w:r>
          </w:p>
        </w:tc>
      </w:tr>
      <w:tr w:rsidR="00953416">
        <w:trPr>
          <w:trHeight w:val="1278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297" w:line="240" w:lineRule="auto"/>
              <w:rPr>
                <w:b/>
              </w:rPr>
            </w:pPr>
            <w:r>
              <w:rPr>
                <w:b/>
              </w:rPr>
              <w:lastRenderedPageBreak/>
              <w:t>6.2.1. Poradnik metodyczny zawiera wskazania w zakresie specjalistycznego dostosowania przestrzeni szkolnej do potrzeb rozwojowych i edukacyjnych uczniów ze specjalnymi potrzebami edukacyjnymi na danym etapie edukacyjnym w odniesieniu do programu nauczania.*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1039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297" w:line="240" w:lineRule="auto"/>
              <w:rPr>
                <w:b/>
              </w:rPr>
            </w:pPr>
            <w:r>
              <w:rPr>
                <w:b/>
              </w:rPr>
              <w:t>6.2.2. Poradnik metodyczny zawiera informacje na temat dostosowania wymagań edukacyjnych do potrzeb rozwojowych i edukacyjnych uczniów ze specjalnymi potrzebami edukacyjnymi na danym etapie edukacyjnym w odniesieniu do programu nauczania.*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1308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297" w:line="240" w:lineRule="auto"/>
              <w:rPr>
                <w:b/>
              </w:rPr>
            </w:pPr>
            <w:r>
              <w:rPr>
                <w:b/>
              </w:rPr>
              <w:t>6.2.3. Poradnik metodyczny zawiera wskazania w zakresie dostosowania sposobu realizacji zajęć edukacyjnych (dostosowanie form, metod i technik pracy) do potrzeb rozwojowych i edukacyjnych uczniów ze specjalnymi potrzebami edukacyjnymi na danym etapie edukacyjnym w odniesieniu do programu nauczania.*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1039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297" w:line="240" w:lineRule="auto"/>
              <w:rPr>
                <w:b/>
              </w:rPr>
            </w:pPr>
            <w:r>
              <w:rPr>
                <w:b/>
              </w:rPr>
              <w:t>6.2.4. Poradnik metodyczny zawiera wskazania w zakresie dostosowania sposobu motywowania uczniów ze specjalnymi potrzebami edukacyjnymi na danym etapie edukacyjnym w odniesieniu do programu nauczania.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904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297" w:line="240" w:lineRule="auto"/>
              <w:rPr>
                <w:b/>
              </w:rPr>
            </w:pPr>
            <w:r>
              <w:rPr>
                <w:b/>
              </w:rPr>
              <w:t>6.2.5. Poradnik metodyczny zawiera wskazania w zakresie dostosowania sposobu komunikacji z uczniami o specjalnych potrzebach edukacyjnych na danym etapie edukacyjnym w odniesieniu do programu nauczania.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735"/>
        </w:trPr>
        <w:tc>
          <w:tcPr>
            <w:tcW w:w="14003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E4E5"/>
            <w:tcMar>
              <w:top w:w="55" w:type="dxa"/>
              <w:bottom w:w="55" w:type="dxa"/>
            </w:tcMar>
            <w:vAlign w:val="center"/>
          </w:tcPr>
          <w:p w:rsidR="00953416" w:rsidRDefault="00775AA5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Zawarto wskazania w zakresie partnerstwa z rodzicami oraz treści na temat roli i zasad tej współpracy.</w:t>
            </w:r>
          </w:p>
        </w:tc>
      </w:tr>
      <w:tr w:rsidR="00953416">
        <w:trPr>
          <w:trHeight w:val="1114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297" w:line="240" w:lineRule="auto"/>
              <w:rPr>
                <w:b/>
              </w:rPr>
            </w:pPr>
            <w:r>
              <w:rPr>
                <w:b/>
              </w:rPr>
              <w:lastRenderedPageBreak/>
              <w:t>6.3.1. Poradnik metodyczny zawiera wskazania w zakresie organizacji współpracy ze środowiskiem domowym uczniów ze specjalnymi potrzebami edukacyjnymi na danym etapie edukacyjnym w odniesieniu do programu nauczania.*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949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297" w:line="240" w:lineRule="auto"/>
              <w:rPr>
                <w:b/>
              </w:rPr>
            </w:pPr>
            <w:r>
              <w:rPr>
                <w:b/>
              </w:rPr>
              <w:t>6.3.2. Poradnik metodyczny zawiera informacje na temat roli i zasad współpracy ze środowiskiem domowym uczniów ze specjalnymi potrzebami edukacyjnymi na danym etapie edukacyjnym w odniesieniu do programu nauczania.*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705"/>
        </w:trPr>
        <w:tc>
          <w:tcPr>
            <w:tcW w:w="14003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E4E5"/>
            <w:tcMar>
              <w:top w:w="55" w:type="dxa"/>
              <w:bottom w:w="55" w:type="dxa"/>
            </w:tcMar>
            <w:vAlign w:val="center"/>
          </w:tcPr>
          <w:p w:rsidR="00953416" w:rsidRDefault="00775AA5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Zawarto wskazania w zakresie zasad współpracy z personelem.</w:t>
            </w:r>
          </w:p>
        </w:tc>
      </w:tr>
      <w:tr w:rsidR="00953416">
        <w:trPr>
          <w:trHeight w:val="1974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114" w:after="354" w:line="240" w:lineRule="auto"/>
              <w:rPr>
                <w:b/>
              </w:rPr>
            </w:pPr>
            <w:r>
              <w:rPr>
                <w:b/>
              </w:rPr>
              <w:t xml:space="preserve">6.4.1. Poradnik metodyczny zawiera wskazania w zakresie zasad współpracy nauczycieli </w:t>
            </w:r>
            <w:r>
              <w:rPr>
                <w:b/>
              </w:rPr>
              <w:br/>
              <w:t xml:space="preserve">z personelem placówki edukacyjnej (tj. nauczyciele współpracujący oraz specjaliści, np.: pedagog, psycholog, terapeuta, pedagog specjalny, logopeda lub </w:t>
            </w:r>
            <w:proofErr w:type="spellStart"/>
            <w:r>
              <w:rPr>
                <w:b/>
              </w:rPr>
              <w:t>neurologopeda</w:t>
            </w:r>
            <w:proofErr w:type="spellEnd"/>
            <w:r>
              <w:rPr>
                <w:b/>
              </w:rPr>
              <w:t xml:space="preserve">) </w:t>
            </w:r>
            <w:r>
              <w:rPr>
                <w:b/>
              </w:rPr>
              <w:br/>
              <w:t xml:space="preserve">w zakresie udzielania specjalistycznej pomocy w pracy dydaktyczno-wychowawczej </w:t>
            </w:r>
            <w:r>
              <w:rPr>
                <w:b/>
              </w:rPr>
              <w:br/>
              <w:t xml:space="preserve">z uczniami o specjalnych potrzebach edukacyjnych na danym etapie edukacyjnym </w:t>
            </w:r>
            <w:r>
              <w:rPr>
                <w:b/>
              </w:rPr>
              <w:br/>
              <w:t>w odniesieniu do programu nauczania.*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855"/>
        </w:trPr>
        <w:tc>
          <w:tcPr>
            <w:tcW w:w="14003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E4E5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Zawarto treści na temat opracowanego sposobu monitorowania/ oceniania postępów ucznia z uwzględnieniem różnych potrzeb edukacyjnych (w tym uwarunkowań wynikających z różnych możliwości psychofizycznych i zachowania motywującej funkcji oceny).</w:t>
            </w:r>
          </w:p>
        </w:tc>
      </w:tr>
      <w:tr w:rsidR="00953416">
        <w:trPr>
          <w:trHeight w:val="897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rPr>
                <w:b/>
              </w:rPr>
            </w:pPr>
            <w:r>
              <w:rPr>
                <w:b/>
              </w:rPr>
              <w:t>6.5.1. Poradnik metodyczny zawiera opis sposobu monitorowania/oceniania postępów ucznia z uwzględnieniem różnych potrzeb edukacyjnych (w tym uwarunkowań wynikających z różnych możliwości psychofizycznych i zachowania motywującej funkcji oceny) na danym etapie edukacyjnym w odniesieniu do programu nauczania.*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1606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297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6.5.2. Poradnik metodyczny zawiera przykład/-y narzędzia/-i do monitorowania/ oceniania postępów ucznia z uwzględnieniem zróżnicowanych potrzeb edukacyjnych </w:t>
            </w:r>
            <w:r>
              <w:rPr>
                <w:b/>
              </w:rPr>
              <w:br/>
              <w:t>(w tym uwarunkowań wynikających z różnych możliwości psychofizycznych i zachowania motywującej funkcji oceny) na danym etapie edukacyjnym w odniesieniu do programu nauczania.*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615"/>
        </w:trPr>
        <w:tc>
          <w:tcPr>
            <w:tcW w:w="14003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E4E5"/>
            <w:tcMar>
              <w:top w:w="55" w:type="dxa"/>
              <w:bottom w:w="55" w:type="dxa"/>
            </w:tcMar>
            <w:vAlign w:val="center"/>
          </w:tcPr>
          <w:p w:rsidR="00953416" w:rsidRDefault="00775AA5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Zawarto przykłady dobrych praktyk pokazujące systemowe rozwijanie szeroko rozumianych kompetencji społecznych.</w:t>
            </w:r>
          </w:p>
        </w:tc>
      </w:tr>
      <w:tr w:rsidR="00953416">
        <w:trPr>
          <w:trHeight w:val="2289"/>
        </w:trPr>
        <w:tc>
          <w:tcPr>
            <w:tcW w:w="8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rPr>
                <w:b/>
              </w:rPr>
            </w:pPr>
            <w:r>
              <w:rPr>
                <w:b/>
              </w:rPr>
              <w:t>6.6.1. Poradnik metodyczny zawiera przykład/-y dobrych praktyk pokazujące systemowe rozwijanie szeroko rozumianych kompetencji społecznych uczniów ze specjalnymi potrzebami edukacyjnymi na danym etapie edukacyjnym (w odniesieniu do programu nauczania), np. poprzez:</w:t>
            </w:r>
          </w:p>
          <w:p w:rsidR="00953416" w:rsidRDefault="00775AA5">
            <w:pPr>
              <w:widowControl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włączenie ucznia ze SPE do aktywności w życiu społeczności szkolnej i lokalnej;</w:t>
            </w:r>
          </w:p>
          <w:p w:rsidR="00953416" w:rsidRDefault="00775AA5">
            <w:pPr>
              <w:widowControl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kształtowanie w uczniach ze SPE właściwych postaw akceptacji wobec siebie</w:t>
            </w:r>
            <w:r>
              <w:rPr>
                <w:b/>
              </w:rPr>
              <w:br/>
              <w:t xml:space="preserve"> i drugiej osoby bez względu na jej cechy psychofizyczne, z uwzględnieniem współdziałania oraz niesienia pomocy;</w:t>
            </w:r>
          </w:p>
          <w:p w:rsidR="00953416" w:rsidRDefault="00775AA5">
            <w:pPr>
              <w:widowControl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zastosowanie strategii działania w kooperacji bazującej na idei pracy zespołowej.*</w:t>
            </w:r>
          </w:p>
          <w:p w:rsidR="00953416" w:rsidRDefault="00953416">
            <w:pPr>
              <w:widowControl/>
              <w:spacing w:after="0" w:line="240" w:lineRule="auto"/>
              <w:ind w:left="1080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570"/>
        </w:trPr>
        <w:tc>
          <w:tcPr>
            <w:tcW w:w="14003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CE4E5"/>
            <w:tcMar>
              <w:top w:w="55" w:type="dxa"/>
              <w:bottom w:w="55" w:type="dxa"/>
            </w:tcMar>
            <w:vAlign w:val="center"/>
          </w:tcPr>
          <w:p w:rsidR="00953416" w:rsidRDefault="00775AA5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ROZDZIAŁ VII. Scenariusze</w:t>
            </w:r>
          </w:p>
        </w:tc>
      </w:tr>
      <w:tr w:rsidR="00953416">
        <w:trPr>
          <w:trHeight w:val="919"/>
        </w:trPr>
        <w:tc>
          <w:tcPr>
            <w:tcW w:w="2824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after="240" w:line="240" w:lineRule="auto"/>
              <w:rPr>
                <w:b/>
              </w:rPr>
            </w:pPr>
            <w:r>
              <w:rPr>
                <w:b/>
              </w:rPr>
              <w:t>Sformułowanie tematu zajęć/ lekcji</w:t>
            </w: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rPr>
                <w:b/>
              </w:rPr>
            </w:pPr>
            <w:r>
              <w:rPr>
                <w:b/>
              </w:rPr>
              <w:t>7.1.1. Spójne merytorycznie i metodycznie z treściami poradnika i programu/ programów, do których opracowano poradnik.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630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114" w:after="114" w:line="240" w:lineRule="auto"/>
              <w:rPr>
                <w:b/>
              </w:rPr>
            </w:pPr>
            <w:r>
              <w:rPr>
                <w:b/>
              </w:rPr>
              <w:t>7.1.2. Zgodne z celami i przebiegiem zajęć/ lekcji.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480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rPr>
                <w:b/>
              </w:rPr>
            </w:pPr>
            <w:r>
              <w:rPr>
                <w:b/>
              </w:rPr>
              <w:t>7.1.3. Dostosowane do możliwości poznawczych uczniów.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585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257" w:line="240" w:lineRule="auto"/>
              <w:rPr>
                <w:b/>
              </w:rPr>
            </w:pPr>
            <w:r>
              <w:rPr>
                <w:b/>
              </w:rPr>
              <w:t>7.1.4. Pobudzające zainteresowanie uczniów.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1044"/>
        </w:trPr>
        <w:tc>
          <w:tcPr>
            <w:tcW w:w="2824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after="240" w:line="240" w:lineRule="auto"/>
              <w:rPr>
                <w:b/>
              </w:rPr>
            </w:pPr>
            <w:r>
              <w:rPr>
                <w:b/>
              </w:rPr>
              <w:t>Sformułowanie celów zajęć/ lekcji</w:t>
            </w: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257" w:line="240" w:lineRule="auto"/>
              <w:rPr>
                <w:b/>
              </w:rPr>
            </w:pPr>
            <w:r>
              <w:rPr>
                <w:b/>
              </w:rPr>
              <w:t>7.2.1. Spójne merytorycznie i metodycznie z treściami poradnika i programu/ programów, do których opracowano poradnik.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735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7.2.2. Zgodne z podstawą programową (zawiera odniesienia do podstawy programowej).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495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7.2.3. Zgodne z tematem zajęć/ lekcji.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420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7.2.4. Zastosowano operacjonalizację celów.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555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line="240" w:lineRule="auto"/>
              <w:rPr>
                <w:b/>
              </w:rPr>
            </w:pPr>
            <w:r>
              <w:rPr>
                <w:b/>
              </w:rPr>
              <w:t>7.2.5. Adekwatne do potrzeb wszystkich uczniów.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825"/>
        </w:trPr>
        <w:tc>
          <w:tcPr>
            <w:tcW w:w="2824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after="240" w:line="240" w:lineRule="auto"/>
              <w:rPr>
                <w:b/>
              </w:rPr>
            </w:pPr>
            <w:r>
              <w:rPr>
                <w:b/>
              </w:rPr>
              <w:t xml:space="preserve">Wybór metod, technik </w:t>
            </w:r>
            <w:r>
              <w:rPr>
                <w:b/>
              </w:rPr>
              <w:br/>
              <w:t>i form nauczania</w:t>
            </w:r>
          </w:p>
          <w:p w:rsidR="00953416" w:rsidRDefault="0095341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rPr>
                <w:b/>
              </w:rPr>
            </w:pPr>
            <w:r>
              <w:rPr>
                <w:b/>
              </w:rPr>
              <w:t>7.3.1. Zastosowano metody, techniki i formy pracy adekwatne do celów zajęć/ lekcji.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780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rPr>
                <w:b/>
              </w:rPr>
            </w:pPr>
            <w:r>
              <w:rPr>
                <w:b/>
              </w:rPr>
              <w:t>7.3.2. Zastosowano metody, techniki i formy pracy adekwatne do tematu zajęć/ lekcji.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645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line="240" w:lineRule="auto"/>
              <w:rPr>
                <w:b/>
              </w:rPr>
            </w:pPr>
            <w:r>
              <w:rPr>
                <w:b/>
              </w:rPr>
              <w:t>7.3.3. Zastosowano metody, techniki i formy pracy adekwatne do wieku uczniów.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810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rPr>
                <w:b/>
              </w:rPr>
            </w:pPr>
            <w:r>
              <w:rPr>
                <w:b/>
              </w:rPr>
              <w:t>7.3.4. Zastosowano aktywizujące metody, techniki i formy pracy.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750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rPr>
                <w:b/>
              </w:rPr>
            </w:pPr>
            <w:r>
              <w:rPr>
                <w:b/>
              </w:rPr>
              <w:t>7.3.5. Zastosowane metody, techniki i formy pracy służą kształtowaniu kompetencji kluczowych uczniów.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720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rPr>
                <w:b/>
              </w:rPr>
            </w:pPr>
            <w:r>
              <w:rPr>
                <w:b/>
              </w:rPr>
              <w:t>7.3.6. Zastosowano metody, techniki i formy pracy rozwijają kreatywność uczniów.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765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rPr>
                <w:b/>
              </w:rPr>
            </w:pPr>
            <w:r>
              <w:rPr>
                <w:b/>
              </w:rPr>
              <w:t xml:space="preserve">7.3.7. Zaproponowano metody i techniki pracy </w:t>
            </w:r>
            <w:r>
              <w:rPr>
                <w:b/>
              </w:rPr>
              <w:br/>
              <w:t>z wykorzystaniem ICT do pracy w trybie zdalnym.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780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rPr>
                <w:b/>
              </w:rPr>
            </w:pPr>
            <w:r>
              <w:rPr>
                <w:b/>
              </w:rPr>
              <w:t>7.3.8. Zaproponowano metody i techniki pracy wspierające uczniów ze SPE.*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735"/>
        </w:trPr>
        <w:tc>
          <w:tcPr>
            <w:tcW w:w="2824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after="240" w:line="240" w:lineRule="auto"/>
              <w:rPr>
                <w:b/>
              </w:rPr>
            </w:pPr>
            <w:r>
              <w:rPr>
                <w:b/>
              </w:rPr>
              <w:t xml:space="preserve">Wybór </w:t>
            </w:r>
            <w:r>
              <w:rPr>
                <w:b/>
              </w:rPr>
              <w:br/>
              <w:t>i przygotowanie środków dydaktycznych</w:t>
            </w: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7.4.1. Zgodne z metodami i zaplanowanym przebiegiem zajęć.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570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7.4.2. Dostosowane do możliwości rozwojowych uczniów.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780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rPr>
                <w:b/>
              </w:rPr>
            </w:pPr>
            <w:r>
              <w:rPr>
                <w:b/>
              </w:rPr>
              <w:t>7.4.3. Zaproponowano autorskie środki dydaktyczne służące osiąganiu celu.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720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rPr>
                <w:b/>
              </w:rPr>
            </w:pPr>
            <w:r>
              <w:rPr>
                <w:b/>
              </w:rPr>
              <w:t>7.4.4. Zainspirowano do samodzielnego wykonania środków dydaktycznych.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1074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257" w:line="240" w:lineRule="auto"/>
              <w:rPr>
                <w:b/>
              </w:rPr>
            </w:pPr>
            <w:r>
              <w:rPr>
                <w:b/>
              </w:rPr>
              <w:t>7.4.5. Zaproponowano przykłady wykorzystania e-materiałów edukacyjnych dostępnych na Zintegrowanej Platformie Edukacyjnej.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765"/>
        </w:trPr>
        <w:tc>
          <w:tcPr>
            <w:tcW w:w="2824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after="240" w:line="240" w:lineRule="auto"/>
              <w:rPr>
                <w:b/>
              </w:rPr>
            </w:pPr>
            <w:r>
              <w:rPr>
                <w:b/>
              </w:rPr>
              <w:t>Opis przebiegu zajęć/ lekcji</w:t>
            </w: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rPr>
                <w:b/>
              </w:rPr>
            </w:pPr>
            <w:r>
              <w:rPr>
                <w:b/>
              </w:rPr>
              <w:t>7.5.1. Przebieg zajęć/ lekcji ma klarowną strukturę (zachowano podział na etapy zajęć/ lekcji).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645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rPr>
                <w:b/>
              </w:rPr>
            </w:pPr>
            <w:r>
              <w:rPr>
                <w:b/>
              </w:rPr>
              <w:t>7.5.2. Opis wskazuje na możliwość realizacji wszystkich celów zajęć/ lekcji.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705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rPr>
                <w:b/>
              </w:rPr>
            </w:pPr>
            <w:r>
              <w:rPr>
                <w:b/>
              </w:rPr>
              <w:t>7.5.3. Uwzględniono kształtowanie umiejętności wpływających na holistyczny rozwój ucznia.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690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7.5.4. Uwzględniono kształtowanie umiejętności przydatnych na rynku pracy.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735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7.5.5. Etapy zajęć/ lekcji powiązano z kształtowaniem kompetencji kluczowych.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735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7.5.6. Etapy zajęć/ lekcji powiązano z rozwijaniem kreatywności uczniów.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675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7.5.7. Wykorzystano elementy podejścia interdyscyplinarnego.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735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7.5.8. Zaproponowano nowatorskie rozwiązania dydaktyczne.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897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57" w:line="240" w:lineRule="auto"/>
              <w:rPr>
                <w:b/>
              </w:rPr>
            </w:pPr>
            <w:r>
              <w:rPr>
                <w:b/>
              </w:rPr>
              <w:t xml:space="preserve">7.5.9. Wykorzystano strategie sprzyjające rozwijaniu umiejętności samodzielnego uczenia się </w:t>
            </w:r>
            <w:r>
              <w:rPr>
                <w:b/>
              </w:rPr>
              <w:br/>
              <w:t>i odpowiedzialności za własne efekty edukacyjne.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897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7.5.10. Zawarto wskazówki dotyczące przebiegu zajęć </w:t>
            </w:r>
            <w:r>
              <w:rPr>
                <w:b/>
              </w:rPr>
              <w:br/>
              <w:t>w realiach nauczania zdalnego.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660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7.5.11. Zaproponowano sposoby budowania motywacji wewnętrznej uczniów.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510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before="57" w:after="257" w:line="240" w:lineRule="auto"/>
              <w:rPr>
                <w:b/>
              </w:rPr>
            </w:pPr>
            <w:r>
              <w:rPr>
                <w:b/>
              </w:rPr>
              <w:t>7.5.12. Uwzględniono sposób ewaluacji zajęć.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360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7.5.13. Zaproponowano sposoby oceniania uczniów.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897"/>
        </w:trPr>
        <w:tc>
          <w:tcPr>
            <w:tcW w:w="2824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after="240" w:line="240" w:lineRule="auto"/>
              <w:rPr>
                <w:b/>
              </w:rPr>
            </w:pPr>
            <w:r>
              <w:rPr>
                <w:b/>
              </w:rPr>
              <w:t>Komentarz metodyczny*</w:t>
            </w: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after="0" w:line="240" w:lineRule="auto"/>
              <w:ind w:left="31"/>
              <w:rPr>
                <w:b/>
              </w:rPr>
            </w:pPr>
            <w:r>
              <w:rPr>
                <w:b/>
              </w:rPr>
              <w:t>7.6.1. Zamieszczono wskazówki dotyczące zalecanych warunków i sposobów realizacji w zakresie np.:</w:t>
            </w:r>
          </w:p>
          <w:p w:rsidR="00953416" w:rsidRDefault="00775AA5">
            <w:pPr>
              <w:widowControl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środków dydaktycznych stosowanych w czasie zajęć/ lekcji;</w:t>
            </w:r>
          </w:p>
          <w:p w:rsidR="00953416" w:rsidRDefault="00775AA5">
            <w:pPr>
              <w:widowControl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form pracy stosowanych w czasie zajęć/ lekcji;</w:t>
            </w:r>
          </w:p>
          <w:p w:rsidR="00953416" w:rsidRDefault="00775AA5">
            <w:pPr>
              <w:widowControl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metod i technik stosowanych w czasie zajęć/ lekcji;</w:t>
            </w:r>
          </w:p>
          <w:p w:rsidR="00953416" w:rsidRDefault="00775AA5">
            <w:pPr>
              <w:widowControl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możliwości dostosowania scenariusza do uczniów ze SPE;</w:t>
            </w:r>
          </w:p>
          <w:p w:rsidR="00953416" w:rsidRDefault="00775AA5">
            <w:pPr>
              <w:widowControl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innych warunków uznanych przez autora za istotne dla efektywnej realizacji celów zajęć/ lekcji.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  <w:tr w:rsidR="00953416">
        <w:trPr>
          <w:trHeight w:val="1020"/>
        </w:trPr>
        <w:tc>
          <w:tcPr>
            <w:tcW w:w="282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775AA5">
            <w:pPr>
              <w:widowControl/>
              <w:spacing w:line="240" w:lineRule="auto"/>
              <w:ind w:left="31"/>
              <w:rPr>
                <w:b/>
              </w:rPr>
            </w:pPr>
            <w:r>
              <w:rPr>
                <w:b/>
              </w:rPr>
              <w:t>7.6.2. Zawarto wskazówki dotyczące komunikacji pomiędzy nauczycielem a grupą uczniów – zarówno w sytuacji lekcji stacjonarnych jak i nauczania zdalnego.</w:t>
            </w: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1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</w:rPr>
            </w:pPr>
          </w:p>
        </w:tc>
        <w:tc>
          <w:tcPr>
            <w:tcW w:w="29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55" w:type="dxa"/>
              <w:bottom w:w="55" w:type="dxa"/>
            </w:tcMar>
          </w:tcPr>
          <w:p w:rsidR="00953416" w:rsidRDefault="00953416">
            <w:pPr>
              <w:spacing w:after="160" w:line="240" w:lineRule="auto"/>
              <w:rPr>
                <w:b/>
                <w:sz w:val="20"/>
                <w:szCs w:val="20"/>
              </w:rPr>
            </w:pPr>
          </w:p>
        </w:tc>
      </w:tr>
    </w:tbl>
    <w:p w:rsidR="00953416" w:rsidRDefault="00953416">
      <w:pPr>
        <w:widowControl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3416" w:rsidRDefault="00953416">
      <w:pPr>
        <w:widowControl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3416" w:rsidRDefault="00953416">
      <w:pPr>
        <w:widowControl/>
        <w:spacing w:after="0" w:line="240" w:lineRule="auto"/>
        <w:rPr>
          <w:sz w:val="2"/>
          <w:szCs w:val="2"/>
        </w:rPr>
      </w:pPr>
    </w:p>
    <w:p w:rsidR="00953416" w:rsidRDefault="00775AA5">
      <w:pPr>
        <w:rPr>
          <w:b/>
        </w:rPr>
      </w:pPr>
      <w:r>
        <w:rPr>
          <w:b/>
        </w:rPr>
        <w:t>*WIERSZE I KOLUMNY OZNACZONE KOLOREM JASNOPOMARAŃCZOWYM  WYPEŁNIAJĄ EKSPERCI DS. SPE I WCAG</w:t>
      </w:r>
    </w:p>
    <w:sectPr w:rsidR="00953416">
      <w:headerReference w:type="default" r:id="rId8"/>
      <w:footerReference w:type="default" r:id="rId9"/>
      <w:pgSz w:w="16838" w:h="11906" w:orient="landscape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F9F" w:rsidRDefault="00103F9F">
      <w:pPr>
        <w:spacing w:after="0" w:line="240" w:lineRule="auto"/>
      </w:pPr>
      <w:r>
        <w:separator/>
      </w:r>
    </w:p>
  </w:endnote>
  <w:endnote w:type="continuationSeparator" w:id="0">
    <w:p w:rsidR="00103F9F" w:rsidRDefault="0010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Times New Roman"/>
    <w:panose1 w:val="0501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16" w:rsidRDefault="00775AA5">
    <w:pPr>
      <w:jc w:val="right"/>
    </w:pPr>
    <w:r>
      <w:rPr>
        <w:noProof/>
        <w:lang w:bidi="ar-SA"/>
      </w:rPr>
      <w:drawing>
        <wp:inline distT="0" distB="0" distL="0" distR="0">
          <wp:extent cx="2054225" cy="743585"/>
          <wp:effectExtent l="0" t="0" r="0" 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4225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fldChar w:fldCharType="begin"/>
    </w:r>
    <w:r>
      <w:instrText>PAGE</w:instrText>
    </w:r>
    <w:r>
      <w:fldChar w:fldCharType="separate"/>
    </w:r>
    <w:r w:rsidR="007D3C4D">
      <w:rPr>
        <w:noProof/>
      </w:rPr>
      <w:t>3</w:t>
    </w:r>
    <w:r>
      <w:fldChar w:fldCharType="end"/>
    </w:r>
    <w:r>
      <w:rPr>
        <w:noProof/>
        <w:lang w:bidi="ar-SA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-118743</wp:posOffset>
          </wp:positionH>
          <wp:positionV relativeFrom="paragraph">
            <wp:posOffset>13334</wp:posOffset>
          </wp:positionV>
          <wp:extent cx="1627505" cy="725170"/>
          <wp:effectExtent l="0" t="0" r="0" b="0"/>
          <wp:wrapSquare wrapText="bothSides" distT="0" distB="0" distL="0" distR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7505" cy="725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F9F" w:rsidRDefault="00103F9F">
      <w:pPr>
        <w:spacing w:after="0" w:line="240" w:lineRule="auto"/>
      </w:pPr>
      <w:r>
        <w:separator/>
      </w:r>
    </w:p>
  </w:footnote>
  <w:footnote w:type="continuationSeparator" w:id="0">
    <w:p w:rsidR="00103F9F" w:rsidRDefault="00103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16" w:rsidRDefault="00953416" w:rsidP="00200A6D">
    <w:pPr>
      <w:pStyle w:val="Nagwek"/>
    </w:pPr>
  </w:p>
  <w:p w:rsidR="00200A6D" w:rsidRDefault="00200A6D" w:rsidP="00200A6D">
    <w:pPr>
      <w:pStyle w:val="Nagwek"/>
    </w:pPr>
  </w:p>
  <w:p w:rsidR="00200A6D" w:rsidRDefault="00200A6D" w:rsidP="00200A6D">
    <w:pPr>
      <w:pStyle w:val="Nagwek"/>
    </w:pPr>
  </w:p>
  <w:p w:rsidR="00200A6D" w:rsidRDefault="00200A6D" w:rsidP="00200A6D">
    <w:pPr>
      <w:pStyle w:val="Nagwek"/>
    </w:pPr>
  </w:p>
  <w:p w:rsidR="00200A6D" w:rsidRPr="007D3C4D" w:rsidRDefault="00200A6D" w:rsidP="007D3C4D">
    <w:pPr>
      <w:pStyle w:val="Nagwek"/>
      <w:jc w:val="right"/>
      <w:rPr>
        <w:i/>
      </w:rPr>
    </w:pPr>
    <w:r w:rsidRPr="007D3C4D">
      <w:rPr>
        <w:i/>
      </w:rPr>
      <w:t>Załącznik nr 1b</w:t>
    </w:r>
    <w:r w:rsidR="007D3C4D" w:rsidRPr="007D3C4D">
      <w:rPr>
        <w:i/>
      </w:rPr>
      <w:t xml:space="preserve"> do opisu przedmiotu zamówienia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0BBD"/>
    <w:multiLevelType w:val="multilevel"/>
    <w:tmpl w:val="F5CE9756"/>
    <w:lvl w:ilvl="0">
      <w:start w:val="1"/>
      <w:numFmt w:val="bullet"/>
      <w:lvlText w:val="●"/>
      <w:lvlJc w:val="left"/>
      <w:pPr>
        <w:ind w:left="720" w:hanging="360"/>
      </w:pPr>
      <w:rPr>
        <w:b/>
        <w:sz w:val="22"/>
        <w:szCs w:val="22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5506CF"/>
    <w:multiLevelType w:val="multilevel"/>
    <w:tmpl w:val="DB3AEA6E"/>
    <w:lvl w:ilvl="0">
      <w:start w:val="1"/>
      <w:numFmt w:val="bullet"/>
      <w:lvlText w:val="●"/>
      <w:lvlJc w:val="left"/>
      <w:pPr>
        <w:ind w:left="720" w:hanging="360"/>
      </w:pPr>
      <w:rPr>
        <w:b/>
        <w:sz w:val="22"/>
        <w:szCs w:val="22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1646CF"/>
    <w:multiLevelType w:val="multilevel"/>
    <w:tmpl w:val="575CE54A"/>
    <w:lvl w:ilvl="0">
      <w:start w:val="1"/>
      <w:numFmt w:val="bullet"/>
      <w:lvlText w:val="●"/>
      <w:lvlJc w:val="left"/>
      <w:pPr>
        <w:ind w:left="751" w:hanging="360"/>
      </w:pPr>
      <w:rPr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ind w:left="1111" w:hanging="360"/>
      </w:pPr>
    </w:lvl>
    <w:lvl w:ilvl="2">
      <w:start w:val="1"/>
      <w:numFmt w:val="bullet"/>
      <w:lvlText w:val="▪"/>
      <w:lvlJc w:val="left"/>
      <w:pPr>
        <w:ind w:left="1471" w:hanging="360"/>
      </w:pPr>
    </w:lvl>
    <w:lvl w:ilvl="3">
      <w:start w:val="1"/>
      <w:numFmt w:val="bullet"/>
      <w:lvlText w:val="●"/>
      <w:lvlJc w:val="left"/>
      <w:pPr>
        <w:ind w:left="1831" w:hanging="360"/>
      </w:pPr>
    </w:lvl>
    <w:lvl w:ilvl="4">
      <w:start w:val="1"/>
      <w:numFmt w:val="bullet"/>
      <w:lvlText w:val="◦"/>
      <w:lvlJc w:val="left"/>
      <w:pPr>
        <w:ind w:left="2191" w:hanging="360"/>
      </w:pPr>
    </w:lvl>
    <w:lvl w:ilvl="5">
      <w:start w:val="1"/>
      <w:numFmt w:val="bullet"/>
      <w:lvlText w:val="▪"/>
      <w:lvlJc w:val="left"/>
      <w:pPr>
        <w:ind w:left="2551" w:hanging="360"/>
      </w:pPr>
    </w:lvl>
    <w:lvl w:ilvl="6">
      <w:start w:val="1"/>
      <w:numFmt w:val="bullet"/>
      <w:lvlText w:val="●"/>
      <w:lvlJc w:val="left"/>
      <w:pPr>
        <w:ind w:left="2911" w:hanging="360"/>
      </w:pPr>
    </w:lvl>
    <w:lvl w:ilvl="7">
      <w:start w:val="1"/>
      <w:numFmt w:val="bullet"/>
      <w:lvlText w:val="◦"/>
      <w:lvlJc w:val="left"/>
      <w:pPr>
        <w:ind w:left="3271" w:hanging="360"/>
      </w:pPr>
    </w:lvl>
    <w:lvl w:ilvl="8">
      <w:start w:val="1"/>
      <w:numFmt w:val="bullet"/>
      <w:lvlText w:val="▪"/>
      <w:lvlJc w:val="left"/>
      <w:pPr>
        <w:ind w:left="3631" w:hanging="360"/>
      </w:pPr>
    </w:lvl>
  </w:abstractNum>
  <w:abstractNum w:abstractNumId="3" w15:restartNumberingAfterBreak="0">
    <w:nsid w:val="7EDB6B37"/>
    <w:multiLevelType w:val="multilevel"/>
    <w:tmpl w:val="D264EFBA"/>
    <w:lvl w:ilvl="0">
      <w:start w:val="1"/>
      <w:numFmt w:val="bullet"/>
      <w:lvlText w:val="●"/>
      <w:lvlJc w:val="left"/>
      <w:pPr>
        <w:ind w:left="720" w:hanging="360"/>
      </w:pPr>
      <w:rPr>
        <w:b/>
        <w:sz w:val="22"/>
        <w:szCs w:val="22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16"/>
    <w:rsid w:val="00103F9F"/>
    <w:rsid w:val="00200A6D"/>
    <w:rsid w:val="00514305"/>
    <w:rsid w:val="00775AA5"/>
    <w:rsid w:val="007D3C4D"/>
    <w:rsid w:val="0095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9D8A"/>
  <w15:docId w15:val="{92C141E5-3F5B-4E48-B2C5-27A442FE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  <w:lang w:bidi="hi-IN"/>
    </w:rPr>
  </w:style>
  <w:style w:type="paragraph" w:styleId="Nagwek1">
    <w:name w:val="heading 1"/>
    <w:next w:val="Normalny"/>
    <w:qFormat/>
    <w:pPr>
      <w:keepNext/>
      <w:keepLines/>
      <w:spacing w:before="480" w:after="120" w:line="240" w:lineRule="auto"/>
      <w:outlineLvl w:val="0"/>
    </w:pPr>
    <w:rPr>
      <w:b/>
      <w:sz w:val="48"/>
      <w:szCs w:val="48"/>
      <w:lang w:eastAsia="zh-CN" w:bidi="hi-IN"/>
    </w:rPr>
  </w:style>
  <w:style w:type="paragraph" w:styleId="Nagwek2">
    <w:name w:val="heading 2"/>
    <w:next w:val="Normalny"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  <w:lang w:eastAsia="zh-CN" w:bidi="hi-IN"/>
    </w:rPr>
  </w:style>
  <w:style w:type="paragraph" w:styleId="Nagwek3">
    <w:name w:val="heading 3"/>
    <w:next w:val="Normalny"/>
    <w:qFormat/>
    <w:pPr>
      <w:keepNext/>
      <w:keepLines/>
      <w:spacing w:before="280" w:after="80" w:line="240" w:lineRule="auto"/>
      <w:outlineLvl w:val="2"/>
    </w:pPr>
    <w:rPr>
      <w:b/>
      <w:sz w:val="28"/>
      <w:szCs w:val="28"/>
      <w:lang w:eastAsia="zh-CN" w:bidi="hi-IN"/>
    </w:rPr>
  </w:style>
  <w:style w:type="paragraph" w:styleId="Nagwek4">
    <w:name w:val="heading 4"/>
    <w:next w:val="Normalny"/>
    <w:qFormat/>
    <w:pPr>
      <w:keepNext/>
      <w:keepLines/>
      <w:spacing w:before="240" w:after="40" w:line="240" w:lineRule="auto"/>
      <w:outlineLvl w:val="3"/>
    </w:pPr>
    <w:rPr>
      <w:b/>
      <w:sz w:val="24"/>
      <w:szCs w:val="24"/>
      <w:lang w:eastAsia="zh-CN" w:bidi="hi-IN"/>
    </w:rPr>
  </w:style>
  <w:style w:type="paragraph" w:styleId="Nagwek5">
    <w:name w:val="heading 5"/>
    <w:next w:val="Normalny"/>
    <w:qFormat/>
    <w:pPr>
      <w:keepNext/>
      <w:keepLines/>
      <w:spacing w:before="220" w:after="40" w:line="240" w:lineRule="auto"/>
      <w:outlineLvl w:val="4"/>
    </w:pPr>
    <w:rPr>
      <w:b/>
      <w:lang w:eastAsia="zh-CN" w:bidi="hi-IN"/>
    </w:rPr>
  </w:style>
  <w:style w:type="paragraph" w:styleId="Nagwek6">
    <w:name w:val="heading 6"/>
    <w:next w:val="Normalny"/>
    <w:qFormat/>
    <w:pPr>
      <w:keepNext/>
      <w:keepLines/>
      <w:spacing w:before="200" w:after="40" w:line="240" w:lineRule="auto"/>
      <w:outlineLvl w:val="5"/>
    </w:pPr>
    <w:rPr>
      <w:b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Normalny"/>
    <w:qFormat/>
    <w:pPr>
      <w:keepNext/>
      <w:keepLines/>
      <w:spacing w:before="480" w:after="120" w:line="240" w:lineRule="auto"/>
    </w:pPr>
    <w:rPr>
      <w:b/>
      <w:sz w:val="72"/>
      <w:szCs w:val="72"/>
      <w:lang w:eastAsia="zh-CN" w:bidi="hi-IN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qFormat/>
    <w:rPr>
      <w:rFonts w:ascii="Cambria" w:eastAsia="Cambria" w:hAnsi="Cambria" w:cs="Cambria"/>
      <w:b/>
      <w:color w:val="4F81BD"/>
      <w:sz w:val="26"/>
      <w:szCs w:val="26"/>
      <w:lang w:eastAsia="pl-PL"/>
    </w:rPr>
  </w:style>
  <w:style w:type="character" w:customStyle="1" w:styleId="AkapitzlistZnak">
    <w:name w:val="Akapit z listą Znak"/>
    <w:qFormat/>
  </w:style>
  <w:style w:type="character" w:customStyle="1" w:styleId="TekstkomentarzaZnak">
    <w:name w:val="Tekst komentarza Znak"/>
    <w:basedOn w:val="Domylnaczcionkaakapitu"/>
    <w:qFormat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uiPriority w:val="99"/>
    <w:qFormat/>
    <w:rPr>
      <w:rFonts w:ascii="Calibri" w:eastAsia="Calibri" w:hAnsi="Calibri" w:cs="Calibri"/>
      <w:color w:val="000000"/>
      <w:lang w:eastAsia="pl-PL"/>
    </w:rPr>
  </w:style>
  <w:style w:type="character" w:customStyle="1" w:styleId="StopkaZnak">
    <w:name w:val="Stopka Znak"/>
    <w:basedOn w:val="Domylnaczcionkaakapitu"/>
    <w:qFormat/>
    <w:rPr>
      <w:rFonts w:ascii="Calibri" w:eastAsia="Calibri" w:hAnsi="Calibri" w:cs="Calibri"/>
      <w:color w:val="000000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qFormat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customStyle="1" w:styleId="ListLabel1">
    <w:name w:val="ListLabel 1"/>
    <w:qFormat/>
    <w:rPr>
      <w:rFonts w:ascii="Calibri" w:eastAsia="Noto Sans Symbols" w:hAnsi="Calibri" w:cs="Noto Sans Symbols"/>
      <w:b/>
      <w:sz w:val="22"/>
    </w:rPr>
  </w:style>
  <w:style w:type="character" w:customStyle="1" w:styleId="ListLabel2">
    <w:name w:val="ListLabel 2"/>
    <w:qFormat/>
    <w:rPr>
      <w:rFonts w:ascii="Calibri" w:eastAsia="Noto Sans Symbols" w:hAnsi="Calibri" w:cs="Noto Sans Symbols"/>
      <w:b/>
      <w:sz w:val="22"/>
    </w:rPr>
  </w:style>
  <w:style w:type="character" w:customStyle="1" w:styleId="ListLabel3">
    <w:name w:val="ListLabel 3"/>
    <w:qFormat/>
    <w:rPr>
      <w:rFonts w:eastAsia="Courier New" w:cs="Courier New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Courier New" w:cs="Courier New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Courier New" w:cs="Courier New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rFonts w:ascii="Calibri" w:hAnsi="Calibri"/>
      <w:b/>
      <w:sz w:val="24"/>
      <w:szCs w:val="22"/>
    </w:rPr>
  </w:style>
  <w:style w:type="character" w:customStyle="1" w:styleId="ListLabel12">
    <w:name w:val="ListLabel 12"/>
    <w:qFormat/>
    <w:rPr>
      <w:rFonts w:ascii="Calibri" w:hAnsi="Calibri"/>
      <w:b/>
      <w:sz w:val="22"/>
      <w:szCs w:val="22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Noto Sans Symbols"/>
    </w:rPr>
  </w:style>
  <w:style w:type="character" w:customStyle="1" w:styleId="ListLabel16">
    <w:name w:val="ListLabel 16"/>
    <w:qFormat/>
    <w:rPr>
      <w:rFonts w:cs="Noto Sans Symbols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Noto Sans Symbols"/>
    </w:rPr>
  </w:style>
  <w:style w:type="character" w:customStyle="1" w:styleId="ListLabel19">
    <w:name w:val="ListLabel 19"/>
    <w:qFormat/>
    <w:rPr>
      <w:rFonts w:cs="Noto Sans Symbol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Noto Sans Symbols"/>
    </w:rPr>
  </w:style>
  <w:style w:type="character" w:customStyle="1" w:styleId="ListLabel22">
    <w:name w:val="ListLabel 22"/>
    <w:qFormat/>
    <w:rPr>
      <w:rFonts w:ascii="Calibri" w:hAnsi="Calibri" w:cs="OpenSymbol"/>
      <w:b/>
      <w:sz w:val="22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Noto Sans Symbols"/>
    </w:rPr>
  </w:style>
  <w:style w:type="character" w:customStyle="1" w:styleId="ListLabel52">
    <w:name w:val="ListLabel 52"/>
    <w:qFormat/>
    <w:rPr>
      <w:rFonts w:cs="Noto Sans Symbols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Noto Sans Symbols"/>
    </w:rPr>
  </w:style>
  <w:style w:type="character" w:customStyle="1" w:styleId="ListLabel55">
    <w:name w:val="ListLabel 55"/>
    <w:qFormat/>
    <w:rPr>
      <w:rFonts w:cs="Noto Sans Symbols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Noto Sans Symbols"/>
    </w:rPr>
  </w:style>
  <w:style w:type="character" w:customStyle="1" w:styleId="ListLabel58">
    <w:name w:val="ListLabel 58"/>
    <w:qFormat/>
    <w:rPr>
      <w:rFonts w:ascii="Calibri" w:hAnsi="Calibri" w:cs="OpenSymbol"/>
      <w:b/>
      <w:sz w:val="22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ascii="Calibri" w:hAnsi="Calibri"/>
      <w:b/>
      <w:sz w:val="22"/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rFonts w:ascii="Calibri" w:hAnsi="Calibri"/>
      <w:b/>
      <w:sz w:val="22"/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rFonts w:ascii="Calibri" w:hAnsi="Calibri"/>
      <w:b/>
      <w:sz w:val="22"/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rFonts w:ascii="Calibri" w:eastAsia="Noto Sans Symbols" w:hAnsi="Calibri" w:cs="Noto Sans Symbols"/>
      <w:b w:val="0"/>
      <w:sz w:val="22"/>
    </w:rPr>
  </w:style>
  <w:style w:type="character" w:customStyle="1" w:styleId="ListLabel113">
    <w:name w:val="ListLabel 113"/>
    <w:qFormat/>
    <w:rPr>
      <w:rFonts w:eastAsia="Noto Sans Symbols" w:cs="Noto Sans Symbols"/>
    </w:rPr>
  </w:style>
  <w:style w:type="character" w:customStyle="1" w:styleId="ListLabel114">
    <w:name w:val="ListLabel 114"/>
    <w:qFormat/>
    <w:rPr>
      <w:rFonts w:eastAsia="Noto Sans Symbols" w:cs="Noto Sans Symbols"/>
    </w:rPr>
  </w:style>
  <w:style w:type="character" w:customStyle="1" w:styleId="ListLabel115">
    <w:name w:val="ListLabel 115"/>
    <w:qFormat/>
    <w:rPr>
      <w:rFonts w:eastAsia="Noto Sans Symbols" w:cs="Noto Sans Symbols"/>
    </w:rPr>
  </w:style>
  <w:style w:type="character" w:customStyle="1" w:styleId="ListLabel116">
    <w:name w:val="ListLabel 116"/>
    <w:qFormat/>
    <w:rPr>
      <w:rFonts w:eastAsia="Noto Sans Symbols" w:cs="Noto Sans Symbols"/>
    </w:rPr>
  </w:style>
  <w:style w:type="character" w:customStyle="1" w:styleId="ListLabel117">
    <w:name w:val="ListLabel 117"/>
    <w:qFormat/>
    <w:rPr>
      <w:rFonts w:eastAsia="Noto Sans Symbols" w:cs="Noto Sans Symbols"/>
    </w:rPr>
  </w:style>
  <w:style w:type="character" w:customStyle="1" w:styleId="ListLabel118">
    <w:name w:val="ListLabel 118"/>
    <w:qFormat/>
    <w:rPr>
      <w:rFonts w:eastAsia="Noto Sans Symbols" w:cs="Noto Sans Symbols"/>
    </w:rPr>
  </w:style>
  <w:style w:type="character" w:customStyle="1" w:styleId="ListLabel119">
    <w:name w:val="ListLabel 119"/>
    <w:qFormat/>
    <w:rPr>
      <w:rFonts w:eastAsia="Noto Sans Symbols" w:cs="Noto Sans Symbols"/>
    </w:rPr>
  </w:style>
  <w:style w:type="character" w:customStyle="1" w:styleId="ListLabel120">
    <w:name w:val="ListLabel 120"/>
    <w:qFormat/>
    <w:rPr>
      <w:rFonts w:eastAsia="Noto Sans Symbols" w:cs="Noto Sans Symbols"/>
    </w:rPr>
  </w:style>
  <w:style w:type="character" w:customStyle="1" w:styleId="ListLabel121">
    <w:name w:val="ListLabel 121"/>
    <w:qFormat/>
    <w:rPr>
      <w:rFonts w:ascii="Calibri" w:eastAsia="Noto Sans Symbols" w:hAnsi="Calibri" w:cs="Noto Sans Symbols"/>
      <w:b/>
      <w:sz w:val="22"/>
      <w:szCs w:val="22"/>
      <w:u w:val="none"/>
    </w:rPr>
  </w:style>
  <w:style w:type="character" w:customStyle="1" w:styleId="ListLabel122">
    <w:name w:val="ListLabel 122"/>
    <w:qFormat/>
    <w:rPr>
      <w:rFonts w:eastAsia="Noto Sans Symbols" w:cs="Noto Sans Symbols"/>
      <w:u w:val="none"/>
    </w:rPr>
  </w:style>
  <w:style w:type="character" w:customStyle="1" w:styleId="ListLabel123">
    <w:name w:val="ListLabel 123"/>
    <w:qFormat/>
    <w:rPr>
      <w:rFonts w:eastAsia="Noto Sans Symbols" w:cs="Noto Sans Symbols"/>
      <w:u w:val="none"/>
    </w:rPr>
  </w:style>
  <w:style w:type="character" w:customStyle="1" w:styleId="ListLabel124">
    <w:name w:val="ListLabel 124"/>
    <w:qFormat/>
    <w:rPr>
      <w:rFonts w:eastAsia="Noto Sans Symbols" w:cs="Noto Sans Symbols"/>
      <w:u w:val="none"/>
    </w:rPr>
  </w:style>
  <w:style w:type="character" w:customStyle="1" w:styleId="ListLabel125">
    <w:name w:val="ListLabel 125"/>
    <w:qFormat/>
    <w:rPr>
      <w:rFonts w:eastAsia="Noto Sans Symbols" w:cs="Noto Sans Symbols"/>
      <w:u w:val="none"/>
    </w:rPr>
  </w:style>
  <w:style w:type="character" w:customStyle="1" w:styleId="ListLabel126">
    <w:name w:val="ListLabel 126"/>
    <w:qFormat/>
    <w:rPr>
      <w:rFonts w:eastAsia="Noto Sans Symbols" w:cs="Noto Sans Symbols"/>
      <w:u w:val="none"/>
    </w:rPr>
  </w:style>
  <w:style w:type="character" w:customStyle="1" w:styleId="ListLabel127">
    <w:name w:val="ListLabel 127"/>
    <w:qFormat/>
    <w:rPr>
      <w:rFonts w:eastAsia="Noto Sans Symbols" w:cs="Noto Sans Symbols"/>
      <w:u w:val="none"/>
    </w:rPr>
  </w:style>
  <w:style w:type="character" w:customStyle="1" w:styleId="ListLabel128">
    <w:name w:val="ListLabel 128"/>
    <w:qFormat/>
    <w:rPr>
      <w:rFonts w:eastAsia="Noto Sans Symbols" w:cs="Noto Sans Symbols"/>
      <w:u w:val="none"/>
    </w:rPr>
  </w:style>
  <w:style w:type="character" w:customStyle="1" w:styleId="ListLabel129">
    <w:name w:val="ListLabel 129"/>
    <w:qFormat/>
    <w:rPr>
      <w:rFonts w:eastAsia="Noto Sans Symbols" w:cs="Noto Sans Symbols"/>
      <w:u w:val="none"/>
    </w:rPr>
  </w:style>
  <w:style w:type="character" w:customStyle="1" w:styleId="ListLabel130">
    <w:name w:val="ListLabel 130"/>
    <w:qFormat/>
    <w:rPr>
      <w:rFonts w:ascii="Calibri" w:eastAsia="Noto Sans Symbols" w:hAnsi="Calibri" w:cs="Noto Sans Symbols"/>
      <w:b/>
      <w:sz w:val="22"/>
      <w:szCs w:val="22"/>
      <w:u w:val="none"/>
    </w:rPr>
  </w:style>
  <w:style w:type="character" w:customStyle="1" w:styleId="ListLabel131">
    <w:name w:val="ListLabel 131"/>
    <w:qFormat/>
    <w:rPr>
      <w:rFonts w:eastAsia="Noto Sans Symbols" w:cs="Noto Sans Symbols"/>
      <w:u w:val="none"/>
    </w:rPr>
  </w:style>
  <w:style w:type="character" w:customStyle="1" w:styleId="ListLabel132">
    <w:name w:val="ListLabel 132"/>
    <w:qFormat/>
    <w:rPr>
      <w:rFonts w:eastAsia="Noto Sans Symbols" w:cs="Noto Sans Symbols"/>
      <w:u w:val="none"/>
    </w:rPr>
  </w:style>
  <w:style w:type="character" w:customStyle="1" w:styleId="ListLabel133">
    <w:name w:val="ListLabel 133"/>
    <w:qFormat/>
    <w:rPr>
      <w:rFonts w:eastAsia="Noto Sans Symbols" w:cs="Noto Sans Symbols"/>
      <w:u w:val="none"/>
    </w:rPr>
  </w:style>
  <w:style w:type="character" w:customStyle="1" w:styleId="ListLabel134">
    <w:name w:val="ListLabel 134"/>
    <w:qFormat/>
    <w:rPr>
      <w:rFonts w:eastAsia="Noto Sans Symbols" w:cs="Noto Sans Symbols"/>
      <w:u w:val="none"/>
    </w:rPr>
  </w:style>
  <w:style w:type="character" w:customStyle="1" w:styleId="ListLabel135">
    <w:name w:val="ListLabel 135"/>
    <w:qFormat/>
    <w:rPr>
      <w:rFonts w:eastAsia="Noto Sans Symbols" w:cs="Noto Sans Symbols"/>
      <w:u w:val="none"/>
    </w:rPr>
  </w:style>
  <w:style w:type="character" w:customStyle="1" w:styleId="ListLabel136">
    <w:name w:val="ListLabel 136"/>
    <w:qFormat/>
    <w:rPr>
      <w:rFonts w:eastAsia="Noto Sans Symbols" w:cs="Noto Sans Symbols"/>
      <w:u w:val="none"/>
    </w:rPr>
  </w:style>
  <w:style w:type="character" w:customStyle="1" w:styleId="ListLabel137">
    <w:name w:val="ListLabel 137"/>
    <w:qFormat/>
    <w:rPr>
      <w:rFonts w:eastAsia="Noto Sans Symbols" w:cs="Noto Sans Symbols"/>
      <w:u w:val="none"/>
    </w:rPr>
  </w:style>
  <w:style w:type="character" w:customStyle="1" w:styleId="ListLabel138">
    <w:name w:val="ListLabel 138"/>
    <w:qFormat/>
    <w:rPr>
      <w:rFonts w:eastAsia="Noto Sans Symbols" w:cs="Noto Sans Symbols"/>
      <w:u w:val="none"/>
    </w:rPr>
  </w:style>
  <w:style w:type="character" w:customStyle="1" w:styleId="ListLabel139">
    <w:name w:val="ListLabel 139"/>
    <w:qFormat/>
    <w:rPr>
      <w:rFonts w:ascii="Calibri" w:eastAsia="Noto Sans Symbols" w:hAnsi="Calibri" w:cs="Noto Sans Symbols"/>
      <w:b/>
      <w:sz w:val="22"/>
      <w:szCs w:val="22"/>
      <w:u w:val="none"/>
    </w:rPr>
  </w:style>
  <w:style w:type="character" w:customStyle="1" w:styleId="ListLabel140">
    <w:name w:val="ListLabel 140"/>
    <w:qFormat/>
    <w:rPr>
      <w:rFonts w:eastAsia="Noto Sans Symbols" w:cs="Noto Sans Symbols"/>
      <w:u w:val="none"/>
    </w:rPr>
  </w:style>
  <w:style w:type="character" w:customStyle="1" w:styleId="ListLabel141">
    <w:name w:val="ListLabel 141"/>
    <w:qFormat/>
    <w:rPr>
      <w:rFonts w:eastAsia="Noto Sans Symbols" w:cs="Noto Sans Symbols"/>
      <w:u w:val="none"/>
    </w:rPr>
  </w:style>
  <w:style w:type="character" w:customStyle="1" w:styleId="ListLabel142">
    <w:name w:val="ListLabel 142"/>
    <w:qFormat/>
    <w:rPr>
      <w:rFonts w:eastAsia="Noto Sans Symbols" w:cs="Noto Sans Symbols"/>
      <w:u w:val="none"/>
    </w:rPr>
  </w:style>
  <w:style w:type="character" w:customStyle="1" w:styleId="ListLabel143">
    <w:name w:val="ListLabel 143"/>
    <w:qFormat/>
    <w:rPr>
      <w:rFonts w:eastAsia="Noto Sans Symbols" w:cs="Noto Sans Symbols"/>
      <w:u w:val="none"/>
    </w:rPr>
  </w:style>
  <w:style w:type="character" w:customStyle="1" w:styleId="ListLabel144">
    <w:name w:val="ListLabel 144"/>
    <w:qFormat/>
    <w:rPr>
      <w:rFonts w:eastAsia="Noto Sans Symbols" w:cs="Noto Sans Symbols"/>
      <w:u w:val="none"/>
    </w:rPr>
  </w:style>
  <w:style w:type="character" w:customStyle="1" w:styleId="ListLabel145">
    <w:name w:val="ListLabel 145"/>
    <w:qFormat/>
    <w:rPr>
      <w:rFonts w:eastAsia="Noto Sans Symbols" w:cs="Noto Sans Symbols"/>
      <w:u w:val="none"/>
    </w:rPr>
  </w:style>
  <w:style w:type="character" w:customStyle="1" w:styleId="ListLabel146">
    <w:name w:val="ListLabel 146"/>
    <w:qFormat/>
    <w:rPr>
      <w:rFonts w:eastAsia="Noto Sans Symbols" w:cs="Noto Sans Symbols"/>
      <w:u w:val="none"/>
    </w:rPr>
  </w:style>
  <w:style w:type="character" w:customStyle="1" w:styleId="ListLabel147">
    <w:name w:val="ListLabel 147"/>
    <w:qFormat/>
    <w:rPr>
      <w:rFonts w:eastAsia="Noto Sans Symbols" w:cs="Noto Sans Symbols"/>
      <w:u w:val="none"/>
    </w:rPr>
  </w:style>
  <w:style w:type="paragraph" w:customStyle="1" w:styleId="Heading">
    <w:name w:val="Heading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  <w:lang w:eastAsia="zh-CN" w:bidi="hi-IN"/>
    </w:rPr>
  </w:style>
  <w:style w:type="paragraph" w:styleId="Tekstpodstawowy">
    <w:name w:val="Body Text"/>
    <w:pPr>
      <w:spacing w:after="140"/>
    </w:pPr>
    <w:rPr>
      <w:lang w:eastAsia="zh-CN" w:bidi="hi-IN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qFormat/>
    <w:pPr>
      <w:suppressLineNumbers/>
      <w:spacing w:before="120" w:after="120"/>
    </w:pPr>
    <w:rPr>
      <w:rFonts w:cs="Lohit Devanagari"/>
      <w:i/>
      <w:iCs/>
      <w:sz w:val="24"/>
      <w:szCs w:val="24"/>
      <w:lang w:eastAsia="zh-CN" w:bidi="hi-IN"/>
    </w:rPr>
  </w:style>
  <w:style w:type="paragraph" w:customStyle="1" w:styleId="Index">
    <w:name w:val="Index"/>
    <w:qFormat/>
    <w:pPr>
      <w:suppressLineNumbers/>
    </w:pPr>
    <w:rPr>
      <w:rFonts w:cs="Lohit Devanagari"/>
      <w:lang w:eastAsia="zh-CN" w:bidi="hi-IN"/>
    </w:rPr>
  </w:style>
  <w:style w:type="paragraph" w:customStyle="1" w:styleId="LO-normal3">
    <w:name w:val="LO-normal3"/>
    <w:qFormat/>
    <w:pPr>
      <w:widowControl/>
    </w:pPr>
    <w:rPr>
      <w:lang w:eastAsia="zh-CN" w:bidi="hi-IN"/>
    </w:rPr>
  </w:style>
  <w:style w:type="paragraph" w:customStyle="1" w:styleId="LO-normal1">
    <w:name w:val="LO-normal1"/>
    <w:qFormat/>
    <w:pPr>
      <w:widowControl/>
    </w:pPr>
    <w:rPr>
      <w:lang w:eastAsia="zh-CN" w:bidi="hi-IN"/>
    </w:rPr>
  </w:style>
  <w:style w:type="paragraph" w:customStyle="1" w:styleId="LO-normal">
    <w:name w:val="LO-normal"/>
    <w:qFormat/>
    <w:pPr>
      <w:widowControl/>
    </w:pPr>
    <w:rPr>
      <w:lang w:eastAsia="zh-CN" w:bidi="hi-IN"/>
    </w:rPr>
  </w:style>
  <w:style w:type="paragraph" w:styleId="Akapitzlist">
    <w:name w:val="List Paragraph"/>
    <w:basedOn w:val="LO-normal1"/>
    <w:qFormat/>
    <w:pPr>
      <w:ind w:left="720"/>
      <w:contextualSpacing/>
    </w:pPr>
    <w:rPr>
      <w:lang w:eastAsia="en-US"/>
    </w:rPr>
  </w:style>
  <w:style w:type="paragraph" w:styleId="Tekstkomentarza">
    <w:name w:val="annotation text"/>
    <w:basedOn w:val="LO-normal1"/>
    <w:qFormat/>
    <w:pPr>
      <w:spacing w:line="240" w:lineRule="auto"/>
    </w:pPr>
    <w:rPr>
      <w:sz w:val="20"/>
      <w:szCs w:val="20"/>
    </w:rPr>
  </w:style>
  <w:style w:type="paragraph" w:styleId="Nagwek">
    <w:name w:val="header"/>
    <w:basedOn w:val="LO-normal1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LO-normal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pPr>
      <w:widowControl/>
      <w:spacing w:after="0" w:line="240" w:lineRule="auto"/>
    </w:pPr>
    <w:rPr>
      <w:rFonts w:ascii="Arial" w:hAnsi="Arial" w:cs="Arial"/>
      <w:color w:val="000000"/>
      <w:sz w:val="24"/>
      <w:szCs w:val="24"/>
      <w:lang w:eastAsia="zh-CN" w:bidi="hi-IN"/>
    </w:rPr>
  </w:style>
  <w:style w:type="paragraph" w:styleId="NormalnyWeb">
    <w:name w:val="Normal (Web)"/>
    <w:basedOn w:val="LO-normal1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LO-normal1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dtytu">
    <w:name w:val="Subtitle"/>
    <w:basedOn w:val="Normalny"/>
    <w:next w:val="Normalny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LO-normal1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a">
    <w:basedOn w:val="TableNormal0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9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DouGuQxEtW6tU7GEVAkZXzS+rA==">AMUW2mUBCSyHRjvSGnfmMaTUvBdqk141CiHbqtmxIDltvS+2g602t+XnqW0YgNh3DfN/iuTBlCprrHKCj3Gwfrd9/vEVVUWY2CwYlG6V0s16Ntl8m7AL6etkCU7bU3XTOmYpqUSoW1vv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2931</Words>
  <Characters>17591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Anna Wesołowska</cp:lastModifiedBy>
  <cp:revision>4</cp:revision>
  <cp:lastPrinted>2021-11-02T07:03:00Z</cp:lastPrinted>
  <dcterms:created xsi:type="dcterms:W3CDTF">2021-02-12T12:48:00Z</dcterms:created>
  <dcterms:modified xsi:type="dcterms:W3CDTF">2023-06-05T11:49:00Z</dcterms:modified>
</cp:coreProperties>
</file>