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0" w:rsidRDefault="00C36C20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heading=h.30j0zll" w:colFirst="0" w:colLast="0"/>
      <w:bookmarkEnd w:id="0"/>
    </w:p>
    <w:p w:rsidR="00C36C20" w:rsidRDefault="00C36C20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140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275"/>
        <w:gridCol w:w="1275"/>
        <w:gridCol w:w="3004"/>
      </w:tblGrid>
      <w:tr w:rsidR="00C36C20">
        <w:trPr>
          <w:trHeight w:val="1304"/>
        </w:trPr>
        <w:tc>
          <w:tcPr>
            <w:tcW w:w="140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</w:tcPr>
          <w:p w:rsidR="00C36C20" w:rsidRDefault="00C36C20">
            <w:pPr>
              <w:shd w:val="clear" w:color="auto" w:fill="ADC5E7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36C20" w:rsidRDefault="00BE1474">
            <w:pPr>
              <w:shd w:val="clear" w:color="auto" w:fill="ADC5E7"/>
              <w:spacing w:after="0" w:line="240" w:lineRule="auto"/>
              <w:ind w:right="-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I. PROGRAM NAUCZANIA - KRYTERIA OCENY SPEŁNIENIA STANDARDU</w:t>
            </w:r>
          </w:p>
          <w:p w:rsidR="00C36C20" w:rsidRDefault="00BE1474">
            <w:pPr>
              <w:shd w:val="clear" w:color="auto" w:fill="ADC5E7"/>
              <w:spacing w:before="240" w:after="240" w:line="360" w:lineRule="auto"/>
              <w:ind w:firstLine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36C20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36C20" w:rsidRDefault="00BE1474">
            <w:pPr>
              <w:widowControl w:val="0"/>
              <w:spacing w:after="200" w:line="240" w:lineRule="auto"/>
            </w:pPr>
            <w:r>
              <w:rPr>
                <w:b/>
              </w:rPr>
              <w:t>WYMAGANIE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36C20" w:rsidRDefault="00BE1474">
            <w:pPr>
              <w:widowControl w:val="0"/>
              <w:spacing w:after="200" w:line="240" w:lineRule="auto"/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CHARAKTERYSTYKA WYMAGANIA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36C20" w:rsidRDefault="00BE1474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SPEŁNIA 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36C20" w:rsidRDefault="00BE1474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</w:rPr>
              <w:t>NIE  SPEŁNIA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36C20" w:rsidRDefault="00BE1474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36C20">
        <w:trPr>
          <w:trHeight w:val="972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>Wstęp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1.1. Podano wszystkie informacje na temat przedmiotu,  etapu edukacyjnego, typu szkoły, adresata.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39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1.2. Podano informacje na temat założeń  teoretyczno-naukowych, na których opiera się program nauczania.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74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1.3. Przedstawiono  uzasadnienie wyboru teorii naukowej/ teorii naukowych.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897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1.4. Przyjęte</w:t>
            </w:r>
            <w:r>
              <w:rPr>
                <w:b/>
              </w:rPr>
              <w:t xml:space="preserve"> założenia teoretyczno-naukowe są poprawne pod względem merytoryczno-dydaktycznym.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408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>Konstrukcja programu nauczania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2.1. Program ma spójną i transparentną konstrukcję;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708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2.2. zawiera  cele kształcenia i wychowania ogólne zgodne </w:t>
            </w:r>
            <w:r>
              <w:rPr>
                <w:b/>
                <w:color w:val="000000"/>
              </w:rPr>
              <w:br/>
              <w:t>z podstawą programową;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12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2.3. zawiera cele kształcenia i wychowania szczegółowe zgodne z podstawą programową;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516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2.4. proponuje </w:t>
            </w:r>
            <w:r>
              <w:rPr>
                <w:b/>
              </w:rPr>
              <w:t xml:space="preserve">autorski </w:t>
            </w:r>
            <w:r>
              <w:rPr>
                <w:b/>
                <w:color w:val="000000"/>
              </w:rPr>
              <w:t>układ treści nauczania;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36C20">
        <w:trPr>
          <w:trHeight w:val="69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2.5. uzasadnia przyjęty układ treści nauczania.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76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</w:rPr>
              <w:t>2.6. Układ treści jest dostosowany do zróżnicowanych potrzeb uczniów.*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79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2.7. Program może zawierać treści wykraczające poza podstawę programową (kryterium fakultatywne).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1129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2.8. Program zawiera uzasadnienie wyboru treści wykraczających poza podstawę programową, jeżeli są w nim ujęte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(kryterium fakultatywne)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684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Organizacja warunków </w:t>
            </w:r>
            <w:r>
              <w:rPr>
                <w:b/>
              </w:rPr>
              <w:br/>
              <w:t>i sposobów realizacji kształcenia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3.1. Program podaje  niezbędne warunki do realizacji kształcenia.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102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3.2. Zaproponowano własne sposoby organizacji kształcenia  pod względem czasowym i uzasadniono ich potrzebę.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1002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3.3. Zaproponowano własne sposoby aranżacji miejsca realizacji zajęć i uzasadniono ich potrzebę.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804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Formy, techniki </w:t>
            </w:r>
            <w:r>
              <w:rPr>
                <w:b/>
              </w:rPr>
              <w:br/>
              <w:t>i metody pracy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4.1. Zaproponowano  różnorodne formy pracy dostosowane do konkretnych sytuacji dydaktycznych.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1332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4.2. Zaproponowano nowatorskie/niestandardowe formy, techniki i metody pracy zmodyfikowane </w:t>
            </w:r>
            <w:r>
              <w:rPr>
                <w:b/>
                <w:color w:val="000000"/>
              </w:rPr>
              <w:br/>
              <w:t>i zaadoptowane do  określonej  sytuacji dydaktycznej w tym nauki zdalnej.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1039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4.3. Zaproponowane metody, techniki</w:t>
            </w:r>
            <w:r>
              <w:rPr>
                <w:b/>
                <w:color w:val="000000"/>
              </w:rPr>
              <w:br/>
              <w:t xml:space="preserve">i formy pracy </w:t>
            </w:r>
            <w:r>
              <w:rPr>
                <w:b/>
              </w:rPr>
              <w:t>uwzględniają</w:t>
            </w:r>
            <w:r>
              <w:rPr>
                <w:b/>
                <w:color w:val="000000"/>
              </w:rPr>
              <w:t xml:space="preserve"> wiek </w:t>
            </w:r>
            <w:r>
              <w:rPr>
                <w:b/>
                <w:color w:val="000000"/>
              </w:rPr>
              <w:br/>
              <w:t>i zainteresowania uczniów.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2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4.4. Opisane metody i techniki pracy uwzględniają potrzeby uczniów, również tych  ze specjalnymi potrzebami.*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84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4.5. Zaproponowano ciekawe metody </w:t>
            </w:r>
            <w:r>
              <w:rPr>
                <w:b/>
                <w:color w:val="000000"/>
              </w:rPr>
              <w:br/>
              <w:t>i techniki pracy z wykorzystaniem technologii informacyjno-komunikacyjnych.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779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4.6. Zaproponowane formy, metody </w:t>
            </w:r>
            <w:r>
              <w:rPr>
                <w:b/>
                <w:color w:val="000000"/>
              </w:rPr>
              <w:br/>
              <w:t>i techniki sprzyjają rozwijaniu kompetencji kluczowych.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36C20">
        <w:trPr>
          <w:trHeight w:val="576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Ocenianie osiągnięć ucznia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5.1. Zaproponowano metody i narzędzia oceniania postępów uczniów.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873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5.2. Zaproponowano autorskie metody oceniania kształtującego, motywującego </w:t>
            </w:r>
            <w:r>
              <w:rPr>
                <w:b/>
                <w:color w:val="000000"/>
              </w:rPr>
              <w:br/>
              <w:t>i wspierającego ucznia.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68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5.3. Opisane metody są integralną częścią programu nauczania.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653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5.4. Zaproponowany system oceniania pełni funkcję informacyjną </w:t>
            </w:r>
            <w:r>
              <w:rPr>
                <w:b/>
              </w:rPr>
              <w:t>o</w:t>
            </w:r>
            <w:r>
              <w:rPr>
                <w:b/>
                <w:color w:val="000000"/>
              </w:rPr>
              <w:t xml:space="preserve"> postępach i rozwoju ucznia.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552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</w:rPr>
              <w:t>5.5. Zaproponowany system oceniania pełni funkcję wspierającą  i motywującą ucznia.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708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>Innowacyjny charakter programu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6.1. Program nauczania zawiera zintegrowane treści międzyprzedmiotowe.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708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6.2. Treści międzyprzedmiotowe wspierają rozwój kompetencji kluczowych.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907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6.3. Realizacja treści międzyprzedmiotowych pozwala na kształtowanie postaw i umiejętności niezbędnych w </w:t>
            </w:r>
            <w:r>
              <w:rPr>
                <w:b/>
              </w:rPr>
              <w:t xml:space="preserve">życiu.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852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Ewaluacja programu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7.1. Zaproponowane metody i narzędzia ewaluacji programu pozwalają na ocenę realizacji celów kształcenia.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36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</w:rPr>
              <w:t>7.2. Zaproponowane metody i narzędzia ewaluacji programu pozwalają na ocenę zmian w zakresie kształcenia postaw uczniów.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883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7.3. Zaproponowane metody i narzędzia ewaluacji programu pozwalają na ocenę kształcenia w zakresie opanowania wiedzy przedmiotowej.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36C20">
        <w:trPr>
          <w:trHeight w:val="1264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</w:rPr>
              <w:t>7.4. Zaproponowane metody i narzędzia ewaluacji programu pozwalają na ocenę kształcenia w zakresie rozwijania umiejętności uczniów, w tym umiejętności niezbędnych na rynku pracy.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6C20">
        <w:trPr>
          <w:trHeight w:val="546"/>
        </w:trPr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Funkcjonalność </w:t>
            </w:r>
            <w:r>
              <w:rPr>
                <w:b/>
              </w:rPr>
              <w:br/>
              <w:t xml:space="preserve">i przydatność programu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>8.1. Program uwzględnia indywidualizacj</w:t>
            </w:r>
            <w:r>
              <w:rPr>
                <w:b/>
              </w:rPr>
              <w:t>ę</w:t>
            </w:r>
            <w:r>
              <w:rPr>
                <w:b/>
                <w:color w:val="000000"/>
              </w:rPr>
              <w:t xml:space="preserve"> pracy z uczniem.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960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8.2. Program umożliwia realizację celów ogólnych </w:t>
            </w:r>
            <w:r>
              <w:rPr>
                <w:b/>
                <w:color w:val="000000"/>
              </w:rPr>
              <w:br/>
              <w:t>i szczegółowych zawartych w podstawie programowej.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836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8.3. Treści programu i </w:t>
            </w:r>
            <w:r>
              <w:rPr>
                <w:b/>
              </w:rPr>
              <w:t>proponowany</w:t>
            </w:r>
            <w:r>
              <w:rPr>
                <w:b/>
                <w:color w:val="000000"/>
              </w:rPr>
              <w:t xml:space="preserve"> sposób ich realizacji umożliwia </w:t>
            </w:r>
            <w:r>
              <w:rPr>
                <w:b/>
              </w:rPr>
              <w:t>dostosowanie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 xml:space="preserve"> go </w:t>
            </w:r>
            <w:r>
              <w:rPr>
                <w:b/>
                <w:color w:val="000000"/>
              </w:rPr>
              <w:t>do potrzeb i możliwości uczniów.*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792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8.4. Program nauczania uwzględnia zalecenia MEN </w:t>
            </w:r>
            <w:r>
              <w:rPr>
                <w:b/>
                <w:color w:val="000000"/>
              </w:rPr>
              <w:br/>
              <w:t>w zakresie edukacji włączającej.*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36C20">
        <w:trPr>
          <w:trHeight w:val="1286"/>
        </w:trPr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BE1474">
            <w:pPr>
              <w:spacing w:line="240" w:lineRule="auto"/>
            </w:pPr>
            <w:r>
              <w:rPr>
                <w:b/>
                <w:color w:val="000000"/>
              </w:rPr>
              <w:t xml:space="preserve">8.5. Program może być zaadaptowany do każdej placówki (brak barier finansowych, organizacyjnych </w:t>
            </w:r>
            <w:r>
              <w:rPr>
                <w:b/>
              </w:rPr>
              <w:br/>
            </w:r>
            <w:r>
              <w:rPr>
                <w:b/>
                <w:color w:val="000000"/>
              </w:rPr>
              <w:t>i technologicznych)  oraz realizowan</w:t>
            </w:r>
            <w:r>
              <w:rPr>
                <w:b/>
              </w:rPr>
              <w:t>y w ramach nauki zdalnej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36C20" w:rsidRDefault="00C36C2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36C20" w:rsidRDefault="00C36C20"/>
    <w:p w:rsidR="00C36C20" w:rsidRDefault="00BE1474">
      <w:pPr>
        <w:widowControl w:val="0"/>
        <w:spacing w:after="200" w:line="276" w:lineRule="auto"/>
        <w:rPr>
          <w:b/>
        </w:rPr>
      </w:pPr>
      <w:r>
        <w:rPr>
          <w:b/>
        </w:rPr>
        <w:t>*WIERSZE I KOLUMNY OZNACZONE KOLOREM JASNOPOMARAŃCZOWYM  WYPEŁNIAJĄ EKSPERCI DS. SPE I WCAG</w:t>
      </w:r>
    </w:p>
    <w:p w:rsidR="00C36C20" w:rsidRDefault="00C36C20"/>
    <w:sectPr w:rsidR="00C36C2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74" w:rsidRDefault="00BE1474">
      <w:pPr>
        <w:spacing w:after="0" w:line="240" w:lineRule="auto"/>
      </w:pPr>
      <w:r>
        <w:separator/>
      </w:r>
    </w:p>
  </w:endnote>
  <w:endnote w:type="continuationSeparator" w:id="0">
    <w:p w:rsidR="00BE1474" w:rsidRDefault="00BE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20" w:rsidRDefault="00BE1474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568F3">
      <w:rPr>
        <w:noProof/>
      </w:rPr>
      <w:t>3</w:t>
    </w:r>
    <w:r>
      <w:fldChar w:fldCharType="end"/>
    </w:r>
  </w:p>
  <w:p w:rsidR="00C36C20" w:rsidRDefault="00BE1474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 w:bidi="ar-SA"/>
      </w:rPr>
      <w:drawing>
        <wp:inline distT="0" distB="0" distL="0" distR="0">
          <wp:extent cx="1627505" cy="72517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6653530</wp:posOffset>
          </wp:positionH>
          <wp:positionV relativeFrom="paragraph">
            <wp:posOffset>-3808</wp:posOffset>
          </wp:positionV>
          <wp:extent cx="2054225" cy="743585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74" w:rsidRDefault="00BE1474">
      <w:pPr>
        <w:spacing w:after="0" w:line="240" w:lineRule="auto"/>
      </w:pPr>
      <w:r>
        <w:separator/>
      </w:r>
    </w:p>
  </w:footnote>
  <w:footnote w:type="continuationSeparator" w:id="0">
    <w:p w:rsidR="00BE1474" w:rsidRDefault="00BE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9A" w:rsidRPr="003568F3" w:rsidRDefault="0034659A" w:rsidP="003568F3">
    <w:pPr>
      <w:pStyle w:val="Nagwek"/>
      <w:jc w:val="right"/>
      <w:rPr>
        <w:i/>
      </w:rPr>
    </w:pPr>
    <w:r w:rsidRPr="003568F3">
      <w:rPr>
        <w:i/>
      </w:rPr>
      <w:t>Załącznik nr 1a</w:t>
    </w:r>
    <w:r w:rsidR="003568F3" w:rsidRPr="003568F3">
      <w:rPr>
        <w:i/>
      </w:rPr>
      <w:t xml:space="preserve"> do opisu przedmiotu zamówienia</w:t>
    </w:r>
  </w:p>
  <w:p w:rsidR="00C36C20" w:rsidRDefault="00C36C2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20"/>
    <w:rsid w:val="0034659A"/>
    <w:rsid w:val="003568F3"/>
    <w:rsid w:val="00BE1474"/>
    <w:rsid w:val="00C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C05A"/>
  <w15:docId w15:val="{7319FC51-23BB-4E0F-83E8-A35C37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ourier New" w:cs="Courier New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Courier New" w:cs="Courier New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Courier New" w:cs="Courier New"/>
    </w:rPr>
  </w:style>
  <w:style w:type="character" w:customStyle="1" w:styleId="ListLabel29">
    <w:name w:val="ListLabel 29"/>
    <w:qFormat/>
    <w:rPr>
      <w:rFonts w:eastAsia="Noto Sans Symbols" w:cs="Noto Sans Symbols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Courier New" w:cs="Courier New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Noto Sans Symbols" w:cs="Noto Sans Symbols"/>
    </w:rPr>
  </w:style>
  <w:style w:type="character" w:customStyle="1" w:styleId="ListLabel39">
    <w:name w:val="ListLabel 39"/>
    <w:qFormat/>
    <w:rPr>
      <w:rFonts w:eastAsia="Courier New" w:cs="Courier New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Courier New" w:cs="Courier New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Courier New" w:cs="Courier New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Courier New" w:cs="Courier New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Courier New" w:cs="Courier New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rFonts w:eastAsia="Courier New" w:cs="Courier New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Noto Sans Symbols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Noto Sans Symbols"/>
    </w:rPr>
  </w:style>
  <w:style w:type="character" w:customStyle="1" w:styleId="ListLabel86">
    <w:name w:val="ListLabel 86"/>
    <w:qFormat/>
    <w:rPr>
      <w:rFonts w:cs="Noto Sans Symbol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Noto Sans Symbol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Noto Sans Symbols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rFonts w:cs="Noto Sans Symbol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Noto Sans Symbols"/>
    </w:rPr>
  </w:style>
  <w:style w:type="character" w:customStyle="1" w:styleId="ListLabel123">
    <w:name w:val="ListLabel 123"/>
    <w:qFormat/>
    <w:rPr>
      <w:rFonts w:cs="Noto Sans Symbol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Noto Sans Symbols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Noto Sans Symbol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Noto Sans Symbol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Noto Sans Symbols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Noto Sans Symbols"/>
    </w:rPr>
  </w:style>
  <w:style w:type="character" w:customStyle="1" w:styleId="ListLabel171">
    <w:name w:val="ListLabel 171"/>
    <w:qFormat/>
    <w:rPr>
      <w:rFonts w:cs="Noto Sans Symbol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Noto Sans Symbols"/>
    </w:rPr>
  </w:style>
  <w:style w:type="character" w:customStyle="1" w:styleId="ListLabel182">
    <w:name w:val="ListLabel 182"/>
    <w:qFormat/>
    <w:rPr>
      <w:rFonts w:cs="Noto Sans Symbols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Noto Sans Symbols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Noto Sans Symbols"/>
    </w:rPr>
  </w:style>
  <w:style w:type="character" w:customStyle="1" w:styleId="ListLabel195">
    <w:name w:val="ListLabel 195"/>
    <w:qFormat/>
    <w:rPr>
      <w:rFonts w:cs="Noto Sans Symbol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Noto Sans Symbols"/>
    </w:rPr>
  </w:style>
  <w:style w:type="character" w:customStyle="1" w:styleId="ListLabel206">
    <w:name w:val="ListLabel 206"/>
    <w:qFormat/>
    <w:rPr>
      <w:rFonts w:cs="Noto Sans Symbol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Noto Sans Symbol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Noto Sans Symbols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Noto Sans Symbols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overflowPunct w:val="0"/>
    </w:pPr>
    <w:rPr>
      <w:lang w:eastAsia="zh-CN" w:bidi="hi-I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table" w:customStyle="1" w:styleId="a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M/shImmmKhmLXBA3rZnHQsd1g==">AMUW2mWu1LYmAOpnMGYWbYpL3+saAPYUhXUB7kbLxyoZU3rnR1i1Laz29fEESbNCX+dsp5sOqVXGW/1T4YkwWm+4E9l72G5WXXTg0rJBd3Fcs53+n60dvEYyY5YWWdOx7XzrekbefRpw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Łuniewska</dc:creator>
  <cp:lastModifiedBy>Anna Wesołowska</cp:lastModifiedBy>
  <cp:revision>3</cp:revision>
  <dcterms:created xsi:type="dcterms:W3CDTF">2021-02-12T12:47:00Z</dcterms:created>
  <dcterms:modified xsi:type="dcterms:W3CDTF">2023-06-05T11:48:00Z</dcterms:modified>
</cp:coreProperties>
</file>