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F3" w:rsidRPr="002671A3" w:rsidRDefault="00552067" w:rsidP="002671A3">
      <w:pPr>
        <w:spacing w:after="18" w:line="259" w:lineRule="auto"/>
        <w:ind w:left="-5"/>
        <w:jc w:val="right"/>
        <w:rPr>
          <w:i/>
        </w:rPr>
      </w:pPr>
      <w:r w:rsidRPr="002671A3">
        <w:rPr>
          <w:i/>
        </w:rPr>
        <w:t>Załącznik nr 1</w:t>
      </w:r>
      <w:r w:rsidR="002671A3" w:rsidRPr="002671A3">
        <w:rPr>
          <w:i/>
        </w:rPr>
        <w:t xml:space="preserve"> do opisu przedmiotu zamówienia</w:t>
      </w:r>
    </w:p>
    <w:p w:rsidR="002671A3" w:rsidRPr="002671A3" w:rsidRDefault="002671A3" w:rsidP="002671A3">
      <w:pPr>
        <w:spacing w:after="18" w:line="259" w:lineRule="auto"/>
        <w:ind w:left="-5"/>
        <w:jc w:val="right"/>
        <w:rPr>
          <w:i/>
        </w:rPr>
      </w:pPr>
    </w:p>
    <w:p w:rsidR="00D229F3" w:rsidRDefault="00C37615">
      <w:pPr>
        <w:spacing w:after="0" w:line="259" w:lineRule="auto"/>
        <w:ind w:right="8"/>
        <w:jc w:val="center"/>
      </w:pPr>
      <w:r>
        <w:rPr>
          <w:b/>
        </w:rPr>
        <w:t xml:space="preserve">ZESTAW NARZĘDZI EDUKACYJNYCH </w:t>
      </w:r>
    </w:p>
    <w:p w:rsidR="00D229F3" w:rsidRDefault="00C37615">
      <w:pPr>
        <w:spacing w:after="0" w:line="259" w:lineRule="auto"/>
        <w:ind w:right="6"/>
        <w:jc w:val="center"/>
      </w:pPr>
      <w:r>
        <w:rPr>
          <w:b/>
        </w:rPr>
        <w:t xml:space="preserve">STANDARDY MERYTOTRYCZNO - DYDAKTYCZNE </w:t>
      </w:r>
    </w:p>
    <w:p w:rsidR="00D229F3" w:rsidRDefault="00C37615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D229F3" w:rsidRDefault="00C37615">
      <w:pPr>
        <w:spacing w:after="304" w:line="259" w:lineRule="auto"/>
        <w:ind w:left="-5"/>
        <w:jc w:val="left"/>
      </w:pPr>
      <w:r>
        <w:rPr>
          <w:b/>
        </w:rPr>
        <w:t xml:space="preserve">Wprowadzenie </w:t>
      </w:r>
    </w:p>
    <w:p w:rsidR="00D229F3" w:rsidRDefault="00C37615">
      <w:pPr>
        <w:spacing w:after="140"/>
      </w:pPr>
      <w:r>
        <w:t xml:space="preserve">Realizacja projektu pozakonkursowego „Tworzenie programów nauczania oraz scenariuszy lekcji  i zajęć wchodzących w skład zestawów narzędzi edukacyjnych wspierających proces kształcenia ogólnego w zakresie kompetencji kluczowych uczniów niezbędnych do poruszania się na rynku pracy” zmierzała ku wypracowaniu narzędzi wspierających działania szkół i nauczycieli w obszarze rozwoju </w:t>
      </w:r>
      <w:r>
        <w:rPr>
          <w:b/>
        </w:rPr>
        <w:t>kreatywności oraz kompetencji kluczowych uczniów</w:t>
      </w:r>
      <w:r>
        <w:t xml:space="preserve">, a tym samym </w:t>
      </w:r>
      <w:r>
        <w:rPr>
          <w:b/>
        </w:rPr>
        <w:t>skutecznego funkcjonowania na rynku pracy</w:t>
      </w:r>
      <w:r>
        <w:t>. Efektem pierwszego etapu działań było przygotowanie 105 programów nau</w:t>
      </w:r>
      <w:bookmarkStart w:id="0" w:name="_GoBack"/>
      <w:bookmarkEnd w:id="0"/>
      <w:r>
        <w:t xml:space="preserve">czania, wraz z przykładowymi scenariuszami zajęć/lekcji, do przedmiotów ogólnokształcących wszystkich etapów kształcenia. Zgodnie z wypracowanymi przez zespół ekspertów zasadami programy  i scenariusze zawierają nowoczesne rozwiązania organizacyjne i metodyczne, a także są inspiracją dla nauczycieli do projektowania zajęć wspierających wszechstronny rozwój ucznia. </w:t>
      </w:r>
    </w:p>
    <w:p w:rsidR="00D229F3" w:rsidRDefault="00C37615">
      <w:pPr>
        <w:spacing w:after="167"/>
      </w:pPr>
      <w:r>
        <w:t xml:space="preserve">W wyniku działań projektu pozakonkursowego oraz planowanych projektów konkursowych nauczyciele będą mieli możliwość poszerzenia swojego warsztatu zawodowego o zestaw narzędzi składających się z następujących elementów: </w:t>
      </w:r>
    </w:p>
    <w:p w:rsidR="00D229F3" w:rsidRDefault="00C37615">
      <w:pPr>
        <w:numPr>
          <w:ilvl w:val="1"/>
          <w:numId w:val="2"/>
        </w:numPr>
        <w:spacing w:after="60" w:line="259" w:lineRule="auto"/>
        <w:ind w:hanging="360"/>
        <w:jc w:val="left"/>
      </w:pPr>
      <w:r>
        <w:rPr>
          <w:b/>
        </w:rPr>
        <w:t>programu nauczania wraz ze scenariuszami zajęć/lekcji</w:t>
      </w:r>
      <w:r>
        <w:rPr>
          <w:b/>
          <w:vertAlign w:val="superscript"/>
        </w:rPr>
        <w:footnoteReference w:id="1"/>
      </w:r>
      <w:r>
        <w:rPr>
          <w:b/>
        </w:rPr>
        <w:t xml:space="preserve">, </w:t>
      </w:r>
    </w:p>
    <w:p w:rsidR="00D229F3" w:rsidRDefault="00C37615">
      <w:pPr>
        <w:numPr>
          <w:ilvl w:val="1"/>
          <w:numId w:val="2"/>
        </w:numPr>
        <w:spacing w:after="60" w:line="259" w:lineRule="auto"/>
        <w:ind w:hanging="360"/>
        <w:jc w:val="left"/>
      </w:pPr>
      <w:r>
        <w:rPr>
          <w:b/>
        </w:rPr>
        <w:t xml:space="preserve">poradnika metodycznego (wraz z  5 przykładowymi scenariuszami lekcji modelowych), </w:t>
      </w:r>
    </w:p>
    <w:p w:rsidR="00D229F3" w:rsidRDefault="00C37615">
      <w:pPr>
        <w:numPr>
          <w:ilvl w:val="1"/>
          <w:numId w:val="2"/>
        </w:numPr>
        <w:spacing w:after="36" w:line="259" w:lineRule="auto"/>
        <w:ind w:hanging="360"/>
        <w:jc w:val="left"/>
      </w:pPr>
      <w:r>
        <w:rPr>
          <w:b/>
        </w:rPr>
        <w:t xml:space="preserve">5 scenariuszy interdyscyplinarnych projektów edukacyjnych, </w:t>
      </w:r>
    </w:p>
    <w:p w:rsidR="00D229F3" w:rsidRDefault="00C37615">
      <w:pPr>
        <w:numPr>
          <w:ilvl w:val="1"/>
          <w:numId w:val="2"/>
        </w:numPr>
        <w:spacing w:after="60" w:line="259" w:lineRule="auto"/>
        <w:ind w:hanging="360"/>
        <w:jc w:val="left"/>
      </w:pPr>
      <w:r>
        <w:rPr>
          <w:b/>
        </w:rPr>
        <w:t xml:space="preserve">narzędzia pomiaru dydaktycznego i narzędzia do ewaluacji działań sprzyjających rozwijaniu kompetencji kluczowych. </w:t>
      </w:r>
    </w:p>
    <w:p w:rsidR="00D229F3" w:rsidRDefault="00C37615">
      <w:pPr>
        <w:spacing w:after="174"/>
      </w:pPr>
      <w:r>
        <w:t xml:space="preserve">Zaproponowany zestaw narzędzi dla nauczycieli, zarówno tych, którzy rozpoczynają pracę  w zawodzie, jak i doświadczonych pedagogów będzie przykładem sposobów wdrażania opracowanych w projekcie programów nauczania do praktyki szkolnej. Zgodnie z zasadami edukacji włączającej oraz projektowania uniwersalnego programy nauczania wraz z pozostałymi narzędziami powinny spełniać kryterium funkcjonalności i być możliwe do realizacji w każdej placówce (przedszkole, szkoła). Istotne jest zatem, aby tworzone narzędzia edukacyjne: </w:t>
      </w:r>
    </w:p>
    <w:p w:rsidR="00D229F3" w:rsidRDefault="00C37615">
      <w:pPr>
        <w:numPr>
          <w:ilvl w:val="0"/>
          <w:numId w:val="1"/>
        </w:numPr>
        <w:spacing w:after="62"/>
        <w:ind w:firstLine="420"/>
      </w:pPr>
      <w:r>
        <w:t xml:space="preserve">uwzględniały zróżnicowane potrzeby edukacyjne dzieci i uczniów,  </w:t>
      </w:r>
    </w:p>
    <w:p w:rsidR="00D229F3" w:rsidRDefault="00C37615">
      <w:pPr>
        <w:numPr>
          <w:ilvl w:val="0"/>
          <w:numId w:val="1"/>
        </w:numPr>
        <w:spacing w:after="61"/>
        <w:ind w:firstLine="420"/>
      </w:pPr>
      <w:r>
        <w:t xml:space="preserve">wspierały integralny rozwój i potencjał dzieci/uczniów,  </w:t>
      </w:r>
    </w:p>
    <w:p w:rsidR="00D229F3" w:rsidRDefault="00C37615">
      <w:pPr>
        <w:numPr>
          <w:ilvl w:val="0"/>
          <w:numId w:val="1"/>
        </w:numPr>
        <w:spacing w:after="60"/>
        <w:ind w:firstLine="420"/>
      </w:pPr>
      <w:r>
        <w:t xml:space="preserve">kształtowały kompetencje kluczowe,  </w:t>
      </w:r>
    </w:p>
    <w:p w:rsidR="00D229F3" w:rsidRDefault="00C37615">
      <w:pPr>
        <w:numPr>
          <w:ilvl w:val="0"/>
          <w:numId w:val="1"/>
        </w:numPr>
        <w:spacing w:after="176"/>
        <w:ind w:firstLine="420"/>
      </w:pPr>
      <w:r>
        <w:t xml:space="preserve">uwzględniały  indywidualne możliwości i tempo uczenia się każdego dziecka/ucznia. Kolejnym elementem, który został uwzględniony w projektowaniu zestawu narzędzi jest odwołanie do otwartych zasobów edukacyjnych i przygotowanie propozycji zajęć z wykorzystaniem e-materiałów, które dostępne są na Zintegrowanej Platformie Edukacyjnej. </w:t>
      </w:r>
    </w:p>
    <w:p w:rsidR="00D229F3" w:rsidRDefault="00C37615">
      <w:pPr>
        <w:spacing w:after="174"/>
      </w:pPr>
      <w:r>
        <w:t xml:space="preserve">Istotną częścią zestawu będą narzędzia służące weryfikacji działań dydaktycznych pod kątem ewaluacji celów kształcenia oraz działań sprzyjających rozwijaniu kompetencji kluczowych, a tym samym refleksji nad efektami procesu uczenia się i nauczania na kolejnych etapach kształcenia. </w:t>
      </w:r>
    </w:p>
    <w:p w:rsidR="00D229F3" w:rsidRDefault="00C37615">
      <w:pPr>
        <w:numPr>
          <w:ilvl w:val="0"/>
          <w:numId w:val="3"/>
        </w:numPr>
        <w:spacing w:after="188" w:line="259" w:lineRule="auto"/>
        <w:ind w:hanging="166"/>
        <w:jc w:val="left"/>
      </w:pPr>
      <w:r>
        <w:rPr>
          <w:b/>
        </w:rPr>
        <w:t>Program nauczania wraz ze scenariuszami zajęć/lekcji</w:t>
      </w:r>
      <w:r>
        <w:t xml:space="preserve">  </w:t>
      </w:r>
    </w:p>
    <w:p w:rsidR="00D229F3" w:rsidRDefault="00C37615">
      <w:pPr>
        <w:ind w:left="348"/>
      </w:pPr>
      <w:r>
        <w:lastRenderedPageBreak/>
        <w:t xml:space="preserve">1. Program nauczania (objętość ok. 50 str.), który zawiera: </w:t>
      </w:r>
    </w:p>
    <w:p w:rsidR="00D229F3" w:rsidRDefault="00C37615">
      <w:pPr>
        <w:numPr>
          <w:ilvl w:val="2"/>
          <w:numId w:val="3"/>
        </w:numPr>
        <w:spacing w:after="63"/>
        <w:ind w:hanging="360"/>
      </w:pPr>
      <w:r>
        <w:t xml:space="preserve">Wstęp; </w:t>
      </w:r>
    </w:p>
    <w:p w:rsidR="00D229F3" w:rsidRDefault="00C37615">
      <w:pPr>
        <w:numPr>
          <w:ilvl w:val="2"/>
          <w:numId w:val="3"/>
        </w:numPr>
        <w:spacing w:after="0" w:line="329" w:lineRule="auto"/>
        <w:ind w:hanging="360"/>
      </w:pPr>
      <w:r>
        <w:t xml:space="preserve">Ogólną charakterystykę programu (założenia teoretyczne i dydaktyczne uwzględniające zasady konstruktywizmu, zindywidualizowane podejście do nauczania oraz zgodne  z założeniami edukacji włączającej); </w:t>
      </w:r>
    </w:p>
    <w:p w:rsidR="00D229F3" w:rsidRDefault="00C37615">
      <w:pPr>
        <w:numPr>
          <w:ilvl w:val="2"/>
          <w:numId w:val="3"/>
        </w:numPr>
        <w:spacing w:after="2" w:line="325" w:lineRule="auto"/>
        <w:ind w:hanging="360"/>
      </w:pPr>
      <w:r>
        <w:t xml:space="preserve">Cele kształcenia i wychowania: ogólne i szczegółowe,  spójne z podstawą programową; d) Treści nauczania; </w:t>
      </w:r>
    </w:p>
    <w:p w:rsidR="00D229F3" w:rsidRDefault="00C37615">
      <w:pPr>
        <w:numPr>
          <w:ilvl w:val="2"/>
          <w:numId w:val="11"/>
        </w:numPr>
        <w:spacing w:after="53"/>
        <w:ind w:hanging="360"/>
      </w:pPr>
      <w:r>
        <w:t xml:space="preserve">Warunki i sposób realizacji kształcenia z uwzględnieniem założeń edukacji włączającej; </w:t>
      </w:r>
    </w:p>
    <w:p w:rsidR="00D229F3" w:rsidRDefault="00C37615">
      <w:pPr>
        <w:numPr>
          <w:ilvl w:val="2"/>
          <w:numId w:val="11"/>
        </w:numPr>
        <w:spacing w:after="0" w:line="330" w:lineRule="auto"/>
        <w:ind w:hanging="360"/>
      </w:pPr>
      <w:r>
        <w:t xml:space="preserve">Procedury osiągania celów wychowania i kształcenia(metody, techniki, formy pracy oraz środki dydaktyczne); </w:t>
      </w:r>
    </w:p>
    <w:p w:rsidR="00D229F3" w:rsidRDefault="00C37615">
      <w:pPr>
        <w:numPr>
          <w:ilvl w:val="2"/>
          <w:numId w:val="11"/>
        </w:numPr>
        <w:spacing w:after="59"/>
        <w:ind w:hanging="360"/>
      </w:pPr>
      <w:r>
        <w:t xml:space="preserve">Ocenianie osiągnięć uczniów  </w:t>
      </w:r>
    </w:p>
    <w:p w:rsidR="00D229F3" w:rsidRDefault="00C37615">
      <w:pPr>
        <w:numPr>
          <w:ilvl w:val="2"/>
          <w:numId w:val="11"/>
        </w:numPr>
        <w:ind w:hanging="360"/>
      </w:pPr>
      <w:r>
        <w:t xml:space="preserve">Ewaluację programu. </w:t>
      </w:r>
    </w:p>
    <w:p w:rsidR="00D229F3" w:rsidRDefault="00C37615">
      <w:pPr>
        <w:spacing w:after="65" w:line="259" w:lineRule="auto"/>
        <w:ind w:left="994" w:firstLine="0"/>
        <w:jc w:val="left"/>
      </w:pPr>
      <w:r>
        <w:t xml:space="preserve"> </w:t>
      </w:r>
    </w:p>
    <w:p w:rsidR="00D229F3" w:rsidRDefault="00C37615">
      <w:pPr>
        <w:spacing w:after="50"/>
        <w:ind w:left="427" w:hanging="89"/>
      </w:pPr>
      <w:r>
        <w:t xml:space="preserve">2. Scenariusze zajęć/lekcji (w liczbie stanowiącej 10-15% ogólnej liczby godzin dydaktycznych  w danym cyklu kształcenia i o objętości ok 2 str. każdy) przedstawiające ogólny zarys realizacji założeń programu nauczania i zawierające: </w:t>
      </w:r>
    </w:p>
    <w:p w:rsidR="00D229F3" w:rsidRDefault="00C37615">
      <w:pPr>
        <w:numPr>
          <w:ilvl w:val="2"/>
          <w:numId w:val="9"/>
        </w:numPr>
        <w:ind w:hanging="286"/>
      </w:pPr>
      <w:r>
        <w:t xml:space="preserve">temat lekcji/zajęć; </w:t>
      </w:r>
    </w:p>
    <w:p w:rsidR="00D229F3" w:rsidRDefault="00C37615">
      <w:pPr>
        <w:numPr>
          <w:ilvl w:val="2"/>
          <w:numId w:val="9"/>
        </w:numPr>
        <w:ind w:hanging="286"/>
      </w:pPr>
      <w:r>
        <w:t xml:space="preserve">cele lekcji;  </w:t>
      </w:r>
    </w:p>
    <w:p w:rsidR="00D229F3" w:rsidRDefault="00C37615">
      <w:pPr>
        <w:numPr>
          <w:ilvl w:val="2"/>
          <w:numId w:val="9"/>
        </w:numPr>
        <w:spacing w:after="56"/>
        <w:ind w:hanging="286"/>
      </w:pPr>
      <w:r>
        <w:t xml:space="preserve">metody, techniki i formy nauczania;  </w:t>
      </w:r>
    </w:p>
    <w:p w:rsidR="00D229F3" w:rsidRDefault="00C37615">
      <w:pPr>
        <w:numPr>
          <w:ilvl w:val="2"/>
          <w:numId w:val="9"/>
        </w:numPr>
        <w:spacing w:after="59"/>
        <w:ind w:hanging="286"/>
      </w:pPr>
      <w:r>
        <w:t xml:space="preserve">środki dydaktyczne;  </w:t>
      </w:r>
    </w:p>
    <w:p w:rsidR="00D229F3" w:rsidRDefault="00C37615">
      <w:pPr>
        <w:numPr>
          <w:ilvl w:val="2"/>
          <w:numId w:val="9"/>
        </w:numPr>
        <w:spacing w:after="63"/>
        <w:ind w:hanging="286"/>
      </w:pPr>
      <w:r>
        <w:t xml:space="preserve">opis przebiegu zajęć/lekcji;  </w:t>
      </w:r>
    </w:p>
    <w:p w:rsidR="00D229F3" w:rsidRDefault="00C37615">
      <w:pPr>
        <w:numPr>
          <w:ilvl w:val="2"/>
          <w:numId w:val="9"/>
        </w:numPr>
        <w:spacing w:after="0" w:line="328" w:lineRule="auto"/>
        <w:ind w:hanging="286"/>
      </w:pPr>
      <w:r>
        <w:t xml:space="preserve">komentarz metodyczny zawierający wskazówki dotyczące realizacji danej lekcji zgodnie  z zasadami edukacji włączającej. </w:t>
      </w:r>
    </w:p>
    <w:p w:rsidR="00D229F3" w:rsidRDefault="00C37615">
      <w:pPr>
        <w:spacing w:after="106" w:line="331" w:lineRule="auto"/>
      </w:pPr>
      <w:r>
        <w:t xml:space="preserve">Program oraz scenariusze opracowane winne być zgodnie z założeniami podstawy programowej kształcenia ogólnego  i umożliwiające realizację wszystkich celów kształcenia; </w:t>
      </w:r>
    </w:p>
    <w:p w:rsidR="00D229F3" w:rsidRDefault="00C37615">
      <w:pPr>
        <w:numPr>
          <w:ilvl w:val="0"/>
          <w:numId w:val="3"/>
        </w:numPr>
        <w:spacing w:after="142"/>
        <w:ind w:hanging="166"/>
        <w:jc w:val="left"/>
      </w:pPr>
      <w:r>
        <w:rPr>
          <w:b/>
        </w:rPr>
        <w:t>Poradnik metodyczny</w:t>
      </w:r>
      <w:r>
        <w:t xml:space="preserve"> (objętość ok. 100 str.) – narzędzie stanowiące uzupełnienie programu nauczania i towarzyszących mu scenariuszy lekcji o szczegółowe wskazówki dotyczące realizacji procesu kształcenia. Celem opracowanego poradnika jest wsparcie zarówno dla nauczyciela rozpoczynającego pracę w zawodzie, jak i dla każdego nauczyciela poszukującego innowacyjnych i ciekawych rozwiązań dydaktycznych związanych z planowaniem pracy, realizacją i ewaluacją procesu dydaktycznego.  </w:t>
      </w:r>
    </w:p>
    <w:p w:rsidR="00D229F3" w:rsidRDefault="00C37615">
      <w:pPr>
        <w:spacing w:after="183"/>
      </w:pPr>
      <w:r>
        <w:t xml:space="preserve">Struktura Poradnika: </w:t>
      </w:r>
    </w:p>
    <w:p w:rsidR="00D229F3" w:rsidRDefault="00C37615">
      <w:pPr>
        <w:numPr>
          <w:ilvl w:val="2"/>
          <w:numId w:val="12"/>
        </w:numPr>
        <w:spacing w:after="0" w:line="331" w:lineRule="auto"/>
        <w:ind w:hanging="360"/>
      </w:pPr>
      <w:r>
        <w:t xml:space="preserve">WSTĘP zawierający ogólne informacje na temat celów i istoty opracowania poradnika, adresata i zawartości merytorycznej; </w:t>
      </w:r>
    </w:p>
    <w:p w:rsidR="00D229F3" w:rsidRDefault="00C37615">
      <w:pPr>
        <w:numPr>
          <w:ilvl w:val="2"/>
          <w:numId w:val="12"/>
        </w:numPr>
        <w:spacing w:after="19" w:line="307" w:lineRule="auto"/>
        <w:ind w:hanging="360"/>
      </w:pPr>
      <w:r>
        <w:t xml:space="preserve">ROZDZIAŁ </w:t>
      </w:r>
      <w:r>
        <w:tab/>
        <w:t xml:space="preserve">I </w:t>
      </w:r>
      <w:r>
        <w:tab/>
        <w:t xml:space="preserve">Planowanie </w:t>
      </w:r>
      <w:r>
        <w:tab/>
        <w:t xml:space="preserve">pracy </w:t>
      </w:r>
      <w:r>
        <w:tab/>
        <w:t xml:space="preserve">w </w:t>
      </w:r>
      <w:r>
        <w:tab/>
        <w:t xml:space="preserve">procesie </w:t>
      </w:r>
      <w:r>
        <w:tab/>
        <w:t xml:space="preserve">dydaktycznym </w:t>
      </w:r>
      <w:r>
        <w:tab/>
        <w:t xml:space="preserve">i </w:t>
      </w:r>
      <w:r>
        <w:tab/>
        <w:t xml:space="preserve">wychowawczym uwzględniające cele i założenia podstawy programowej stosownie do przedmiotu i etapu edukacyjnego; </w:t>
      </w:r>
    </w:p>
    <w:p w:rsidR="00D229F3" w:rsidRDefault="00C37615">
      <w:pPr>
        <w:numPr>
          <w:ilvl w:val="2"/>
          <w:numId w:val="12"/>
        </w:numPr>
        <w:spacing w:after="0" w:line="331" w:lineRule="auto"/>
        <w:ind w:hanging="360"/>
      </w:pPr>
      <w:r>
        <w:t xml:space="preserve">ROZDZIAŁ II Nauczanie przedmiotu/przedmiotów (przypisanych do obszarów przedmiotowych) na danym etapie edukacyjnym z uwzględnieniem: </w:t>
      </w:r>
    </w:p>
    <w:p w:rsidR="00D229F3" w:rsidRDefault="00C37615">
      <w:pPr>
        <w:numPr>
          <w:ilvl w:val="4"/>
          <w:numId w:val="7"/>
        </w:numPr>
        <w:spacing w:after="0"/>
        <w:ind w:hanging="360"/>
      </w:pPr>
      <w:r>
        <w:t xml:space="preserve">zasad nauczania,  </w:t>
      </w:r>
    </w:p>
    <w:p w:rsidR="00D229F3" w:rsidRDefault="00C37615">
      <w:pPr>
        <w:numPr>
          <w:ilvl w:val="4"/>
          <w:numId w:val="7"/>
        </w:numPr>
        <w:ind w:hanging="360"/>
      </w:pPr>
      <w:r>
        <w:t xml:space="preserve">metod i strategii nauczania, </w:t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kompetencji kluczowych, </w:t>
      </w:r>
    </w:p>
    <w:p w:rsidR="00D229F3" w:rsidRDefault="00C37615">
      <w:pPr>
        <w:numPr>
          <w:ilvl w:val="4"/>
          <w:numId w:val="7"/>
        </w:numPr>
        <w:spacing w:after="0"/>
        <w:ind w:hanging="360"/>
      </w:pPr>
      <w:r>
        <w:t xml:space="preserve">interdyscyplinarności, </w:t>
      </w:r>
    </w:p>
    <w:p w:rsidR="00D229F3" w:rsidRDefault="00C37615">
      <w:pPr>
        <w:numPr>
          <w:ilvl w:val="4"/>
          <w:numId w:val="7"/>
        </w:numPr>
        <w:ind w:hanging="360"/>
      </w:pPr>
      <w:r>
        <w:t xml:space="preserve">zasad projektowania uniwersalnego i specjalnych potrzeb edukacyjnych. </w:t>
      </w:r>
    </w:p>
    <w:p w:rsidR="00D229F3" w:rsidRDefault="00C37615">
      <w:pPr>
        <w:spacing w:after="0" w:line="331" w:lineRule="auto"/>
        <w:ind w:left="994" w:hanging="360"/>
      </w:pPr>
      <w:r>
        <w:t xml:space="preserve">d) ROZDZIAŁ III Organizacja procesu dydaktycznego – zasady pracy na lekcji danego przedmiotu/obszaru przedmiotowego z uwzględnieniem: </w:t>
      </w:r>
    </w:p>
    <w:p w:rsidR="00D229F3" w:rsidRDefault="00C37615">
      <w:pPr>
        <w:numPr>
          <w:ilvl w:val="4"/>
          <w:numId w:val="5"/>
        </w:numPr>
        <w:ind w:hanging="360"/>
      </w:pPr>
      <w:r>
        <w:lastRenderedPageBreak/>
        <w:t xml:space="preserve">celów i założeń pracy z klasą zróżnicowaną pod względem potrzeb edukacyjnych. </w:t>
      </w:r>
    </w:p>
    <w:p w:rsidR="00D229F3" w:rsidRDefault="00C37615">
      <w:pPr>
        <w:numPr>
          <w:ilvl w:val="4"/>
          <w:numId w:val="5"/>
        </w:numPr>
        <w:spacing w:line="322" w:lineRule="auto"/>
        <w:ind w:hanging="360"/>
      </w:pPr>
      <w:r>
        <w:t xml:space="preserve">podejścia zgodnego z założeniami edukacji włączającej w pracy z klasą zróżnicowaną pod względem potrzeb edukacyjnych. </w:t>
      </w:r>
    </w:p>
    <w:p w:rsidR="00D229F3" w:rsidRDefault="00C37615">
      <w:pPr>
        <w:numPr>
          <w:ilvl w:val="4"/>
          <w:numId w:val="5"/>
        </w:numPr>
        <w:ind w:hanging="360"/>
      </w:pPr>
      <w:r>
        <w:t xml:space="preserve">zapewnienie odpowiednich warunków i sposobów realizacji podstawy programowej kształcenia ogólnego (przygotowanie lekcji, organizacja przestrzeni i przygotowanie pomocy dydaktycznych, komunikowanie się z uczniem i z grupą uczniów. </w:t>
      </w:r>
    </w:p>
    <w:p w:rsidR="00D229F3" w:rsidRDefault="00C37615">
      <w:pPr>
        <w:spacing w:after="68" w:line="259" w:lineRule="auto"/>
        <w:ind w:left="1418" w:firstLine="0"/>
        <w:jc w:val="left"/>
      </w:pPr>
      <w:r>
        <w:t xml:space="preserve"> </w:t>
      </w:r>
    </w:p>
    <w:p w:rsidR="00D229F3" w:rsidRDefault="00C37615">
      <w:pPr>
        <w:numPr>
          <w:ilvl w:val="2"/>
          <w:numId w:val="4"/>
        </w:numPr>
        <w:ind w:hanging="360"/>
      </w:pPr>
      <w:r>
        <w:t xml:space="preserve">ROZDZIAŁ IV Nauczane treści kształcenia, umiejętności przedmiotowe i ponad przedmiotowe (uniwersalne) z uwzględnieniem planowania i wdrażania działań wspierających kształtowanie kompetencji kluczowych i umiejętności miękkich; </w:t>
      </w:r>
    </w:p>
    <w:p w:rsidR="00D229F3" w:rsidRDefault="00C37615">
      <w:pPr>
        <w:numPr>
          <w:ilvl w:val="2"/>
          <w:numId w:val="4"/>
        </w:numPr>
        <w:spacing w:after="74"/>
        <w:ind w:hanging="360"/>
      </w:pPr>
      <w:r>
        <w:t>ROZDZIAŁ V Monitorowanie i ocenianie postępów ucznia</w:t>
      </w:r>
      <w:r>
        <w:rPr>
          <w:vertAlign w:val="superscript"/>
        </w:rPr>
        <w:footnoteReference w:id="2"/>
      </w:r>
      <w:r>
        <w:t xml:space="preserve">, obejmujące: </w:t>
      </w:r>
    </w:p>
    <w:p w:rsidR="00D229F3" w:rsidRDefault="00C37615">
      <w:pPr>
        <w:numPr>
          <w:ilvl w:val="4"/>
          <w:numId w:val="10"/>
        </w:numPr>
        <w:spacing w:after="1" w:line="330" w:lineRule="auto"/>
        <w:ind w:hanging="360"/>
      </w:pPr>
      <w:r>
        <w:t xml:space="preserve">sposoby monitorowania i oceniania postępów ucznia z uwzględnieniem specyfiki danego przedmiotu i wymagań określonych w podstawie programowej dla danego </w:t>
      </w:r>
    </w:p>
    <w:p w:rsidR="00D229F3" w:rsidRDefault="00C37615">
      <w:pPr>
        <w:spacing w:after="68" w:line="259" w:lineRule="auto"/>
        <w:ind w:left="212" w:firstLine="0"/>
        <w:jc w:val="center"/>
      </w:pPr>
      <w:r>
        <w:t xml:space="preserve">etapu edukacyjnego oraz procesu kształtowania kompetencji kluczowych </w:t>
      </w:r>
    </w:p>
    <w:p w:rsidR="00D229F3" w:rsidRDefault="00C37615">
      <w:pPr>
        <w:numPr>
          <w:ilvl w:val="4"/>
          <w:numId w:val="10"/>
        </w:numPr>
        <w:ind w:hanging="360"/>
      </w:pPr>
      <w:r>
        <w:t xml:space="preserve">funkcje i znaczenie oceniania sumującego i kształtującego </w:t>
      </w:r>
    </w:p>
    <w:p w:rsidR="00D229F3" w:rsidRDefault="00C37615">
      <w:pPr>
        <w:numPr>
          <w:ilvl w:val="4"/>
          <w:numId w:val="10"/>
        </w:numPr>
        <w:ind w:hanging="360"/>
      </w:pPr>
      <w:r>
        <w:t xml:space="preserve">ocenianie bieżące, śródroczne i końcowe; </w:t>
      </w:r>
    </w:p>
    <w:p w:rsidR="00D229F3" w:rsidRDefault="00C37615">
      <w:pPr>
        <w:numPr>
          <w:ilvl w:val="4"/>
          <w:numId w:val="10"/>
        </w:numPr>
        <w:ind w:hanging="360"/>
      </w:pPr>
      <w:r>
        <w:t xml:space="preserve">ocena koleżeńska i samoocena </w:t>
      </w:r>
    </w:p>
    <w:p w:rsidR="00D229F3" w:rsidRDefault="00C37615">
      <w:pPr>
        <w:numPr>
          <w:ilvl w:val="4"/>
          <w:numId w:val="10"/>
        </w:numPr>
        <w:spacing w:after="0" w:line="331" w:lineRule="auto"/>
        <w:ind w:hanging="360"/>
      </w:pPr>
      <w:r>
        <w:t xml:space="preserve">sprawdzanie wiedzy i umiejętności z uwzględnieniem spersonalizowanej oceny osiągnięć i postępów uczniów o zróżnicowanych potrzebach edukacyjnych.  </w:t>
      </w:r>
    </w:p>
    <w:p w:rsidR="00D229F3" w:rsidRDefault="00C37615">
      <w:pPr>
        <w:spacing w:after="67" w:line="259" w:lineRule="auto"/>
        <w:ind w:left="1766" w:firstLine="0"/>
        <w:jc w:val="left"/>
      </w:pPr>
      <w:r>
        <w:t xml:space="preserve"> </w:t>
      </w:r>
    </w:p>
    <w:p w:rsidR="00D229F3" w:rsidRDefault="00C37615">
      <w:pPr>
        <w:spacing w:after="55"/>
        <w:ind w:left="718"/>
      </w:pPr>
      <w:r>
        <w:t xml:space="preserve">g) ROZDZIAŁ VI Zadania nauczyciela w kontekście realizacji założeń edukacji włączającej  </w:t>
      </w:r>
    </w:p>
    <w:p w:rsidR="00D229F3" w:rsidRDefault="00C37615">
      <w:pPr>
        <w:numPr>
          <w:ilvl w:val="4"/>
          <w:numId w:val="8"/>
        </w:numPr>
        <w:spacing w:after="0" w:line="332" w:lineRule="auto"/>
        <w:ind w:hanging="418"/>
      </w:pPr>
      <w:r>
        <w:t xml:space="preserve">diagnozowanie potrzeb rozwojowych i edukacyjnych uczniów podczas zajęć – szanse i możliwości obserwacji pedagogicznej; </w:t>
      </w:r>
    </w:p>
    <w:p w:rsidR="00D229F3" w:rsidRDefault="00C37615">
      <w:pPr>
        <w:numPr>
          <w:ilvl w:val="4"/>
          <w:numId w:val="8"/>
        </w:numPr>
        <w:ind w:hanging="418"/>
      </w:pPr>
      <w:r>
        <w:t xml:space="preserve">specjalistyczne dostosowania; </w:t>
      </w:r>
    </w:p>
    <w:p w:rsidR="00D229F3" w:rsidRDefault="00C37615">
      <w:pPr>
        <w:numPr>
          <w:ilvl w:val="4"/>
          <w:numId w:val="8"/>
        </w:numPr>
        <w:ind w:hanging="418"/>
      </w:pPr>
      <w:r>
        <w:t xml:space="preserve">partnerstwo z  rodzicami; rola i zasady tej współpracy </w:t>
      </w:r>
    </w:p>
    <w:p w:rsidR="00D229F3" w:rsidRDefault="00C37615">
      <w:pPr>
        <w:numPr>
          <w:ilvl w:val="4"/>
          <w:numId w:val="8"/>
        </w:numPr>
        <w:ind w:hanging="418"/>
      </w:pPr>
      <w:r>
        <w:t xml:space="preserve">zasady współpracy z personelem; </w:t>
      </w:r>
    </w:p>
    <w:p w:rsidR="00D229F3" w:rsidRDefault="00C37615">
      <w:pPr>
        <w:numPr>
          <w:ilvl w:val="4"/>
          <w:numId w:val="8"/>
        </w:numPr>
        <w:spacing w:after="53"/>
        <w:ind w:hanging="418"/>
      </w:pPr>
      <w:r>
        <w:t xml:space="preserve">opracowanie sposobu monitorowania postępów ucznia z uwzględnieniem różnych potrzeb edukacyjnych (w tym uwarunkowań wynikających z różnych możliwości psychofizycznych i zachowania motywującej funkcji oceny) </w:t>
      </w:r>
    </w:p>
    <w:p w:rsidR="00D229F3" w:rsidRDefault="00C37615">
      <w:pPr>
        <w:numPr>
          <w:ilvl w:val="4"/>
          <w:numId w:val="8"/>
        </w:numPr>
        <w:spacing w:after="0" w:line="329" w:lineRule="auto"/>
        <w:ind w:hanging="418"/>
      </w:pPr>
      <w:r>
        <w:t xml:space="preserve">przykłady dobrych praktyk pokazujące systemowe rozwijanie szeroko rozumianych kompetencji społecznych. </w:t>
      </w:r>
    </w:p>
    <w:p w:rsidR="00D229F3" w:rsidRDefault="00C37615">
      <w:pPr>
        <w:spacing w:after="67" w:line="259" w:lineRule="auto"/>
        <w:ind w:left="1418" w:firstLine="0"/>
        <w:jc w:val="left"/>
      </w:pPr>
      <w:r>
        <w:t xml:space="preserve"> </w:t>
      </w:r>
    </w:p>
    <w:p w:rsidR="00D229F3" w:rsidRDefault="00C37615">
      <w:pPr>
        <w:spacing w:after="61"/>
        <w:ind w:left="718"/>
      </w:pPr>
      <w:r>
        <w:t xml:space="preserve">h) ROZDZIAŁ VII Scenariusze zawierające wyczerpujący opis przebiegu lekcji  </w:t>
      </w:r>
    </w:p>
    <w:p w:rsidR="00D229F3" w:rsidRDefault="00C37615">
      <w:pPr>
        <w:spacing w:after="0" w:line="326" w:lineRule="auto"/>
        <w:ind w:left="1053"/>
      </w:pPr>
      <w:r>
        <w:t xml:space="preserve">(5 scenariuszy o objętości 4 str. każdy) z wykorzystaniem e-materiałów edukacyjnych dostępnych na Zintegrowanej Platformie Edukacyjnej; spójny merytorycznie i metodycznie  z treściami poradnika.  </w:t>
      </w:r>
    </w:p>
    <w:p w:rsidR="00D229F3" w:rsidRDefault="00C37615">
      <w:pPr>
        <w:spacing w:after="33" w:line="259" w:lineRule="auto"/>
        <w:ind w:left="994" w:firstLine="0"/>
        <w:jc w:val="left"/>
      </w:pPr>
      <w:r>
        <w:t xml:space="preserve"> </w:t>
      </w:r>
    </w:p>
    <w:p w:rsidR="00D229F3" w:rsidRDefault="00C37615">
      <w:pPr>
        <w:spacing w:after="51"/>
        <w:ind w:left="862"/>
      </w:pPr>
      <w:r>
        <w:t xml:space="preserve">i) Bibliografia. </w:t>
      </w:r>
    </w:p>
    <w:p w:rsidR="00D229F3" w:rsidRDefault="00C37615">
      <w:pPr>
        <w:numPr>
          <w:ilvl w:val="0"/>
          <w:numId w:val="3"/>
        </w:numPr>
        <w:spacing w:after="86" w:line="330" w:lineRule="auto"/>
        <w:ind w:hanging="166"/>
        <w:jc w:val="left"/>
      </w:pPr>
      <w:r>
        <w:rPr>
          <w:b/>
        </w:rPr>
        <w:t xml:space="preserve">Scenariusze Interdyscyplinarnych Projektów Edukacyjnych </w:t>
      </w:r>
      <w:r>
        <w:t>(5 scenariuszy w zestawie, objętość ok. 20 str.)</w:t>
      </w:r>
      <w:r>
        <w:rPr>
          <w:b/>
        </w:rPr>
        <w:t xml:space="preserve"> </w:t>
      </w:r>
      <w:r>
        <w:t xml:space="preserve">zawierające: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temat projektu,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przewidywany czas realizacji projektu,  </w:t>
      </w:r>
    </w:p>
    <w:p w:rsidR="00D229F3" w:rsidRDefault="00C37615">
      <w:pPr>
        <w:numPr>
          <w:ilvl w:val="1"/>
          <w:numId w:val="3"/>
        </w:numPr>
        <w:spacing w:after="58"/>
        <w:ind w:hanging="360"/>
      </w:pPr>
      <w:r>
        <w:lastRenderedPageBreak/>
        <w:t xml:space="preserve">cele projektu,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treści kształcenia, 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odbiorcy programu edukacyjnego,  </w:t>
      </w:r>
    </w:p>
    <w:p w:rsidR="00D229F3" w:rsidRDefault="00C37615">
      <w:pPr>
        <w:numPr>
          <w:ilvl w:val="1"/>
          <w:numId w:val="3"/>
        </w:numPr>
        <w:spacing w:after="68"/>
        <w:ind w:hanging="360"/>
      </w:pPr>
      <w:r>
        <w:t xml:space="preserve">formy i metody realizacji projektu edukacyjnego, 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sposób realizacji projektu edukacyjnego,  </w:t>
      </w:r>
    </w:p>
    <w:p w:rsidR="00D229F3" w:rsidRDefault="00C37615">
      <w:pPr>
        <w:numPr>
          <w:ilvl w:val="1"/>
          <w:numId w:val="3"/>
        </w:numPr>
        <w:spacing w:after="60"/>
        <w:ind w:hanging="360"/>
      </w:pPr>
      <w:r>
        <w:t xml:space="preserve">regulamin projektu edukacyjnego, 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ocenianie projektu edukacyjnego (kryteria i sposób oceniania), </w:t>
      </w:r>
    </w:p>
    <w:p w:rsidR="00D229F3" w:rsidRDefault="00C37615">
      <w:pPr>
        <w:numPr>
          <w:ilvl w:val="1"/>
          <w:numId w:val="3"/>
        </w:numPr>
        <w:ind w:hanging="360"/>
      </w:pPr>
      <w:r>
        <w:t xml:space="preserve">ewaluacja projektu edukacyjnego (narzędzie służące ewaluacji projektu). </w:t>
      </w:r>
    </w:p>
    <w:p w:rsidR="00D229F3" w:rsidRDefault="00C37615">
      <w:pPr>
        <w:numPr>
          <w:ilvl w:val="0"/>
          <w:numId w:val="3"/>
        </w:numPr>
        <w:spacing w:after="60" w:line="259" w:lineRule="auto"/>
        <w:ind w:hanging="166"/>
        <w:jc w:val="left"/>
      </w:pPr>
      <w:r>
        <w:rPr>
          <w:b/>
        </w:rPr>
        <w:t xml:space="preserve">Narzędzia pomiaru dydaktycznego i narzędzia do ewaluacji procesu rozwijania kompetencji kluczowych </w:t>
      </w:r>
    </w:p>
    <w:p w:rsidR="00D229F3" w:rsidRDefault="00C37615">
      <w:pPr>
        <w:spacing w:after="119" w:line="331" w:lineRule="auto"/>
      </w:pPr>
      <w:r>
        <w:rPr>
          <w:b/>
        </w:rPr>
        <w:t xml:space="preserve"> –</w:t>
      </w:r>
      <w:r>
        <w:t xml:space="preserve">opracowane dla </w:t>
      </w:r>
      <w:r>
        <w:rPr>
          <w:b/>
        </w:rPr>
        <w:t>poszczególnych</w:t>
      </w:r>
      <w:r>
        <w:t xml:space="preserve"> etapów edukacyjnych i obszarów przedmiotowych/przedmiotów oraz zgodne z założeniami merytorycznymi opisanymi w danym poradniku metodycznym: </w:t>
      </w:r>
    </w:p>
    <w:p w:rsidR="00D229F3" w:rsidRDefault="00C37615">
      <w:pPr>
        <w:numPr>
          <w:ilvl w:val="1"/>
          <w:numId w:val="3"/>
        </w:numPr>
        <w:spacing w:after="1" w:line="328" w:lineRule="auto"/>
        <w:ind w:hanging="360"/>
      </w:pPr>
      <w:r>
        <w:t xml:space="preserve">przykładowe arkusze ewaluacyjne pozwalające na prowadzenie oceny na różnych etapach kształcenia, np.: oceny: </w:t>
      </w:r>
    </w:p>
    <w:p w:rsidR="00D229F3" w:rsidRDefault="00C37615">
      <w:pPr>
        <w:numPr>
          <w:ilvl w:val="4"/>
          <w:numId w:val="6"/>
        </w:numPr>
        <w:ind w:hanging="360"/>
      </w:pPr>
      <w:r>
        <w:t xml:space="preserve">początkowej </w:t>
      </w:r>
    </w:p>
    <w:p w:rsidR="00D229F3" w:rsidRDefault="00C37615">
      <w:pPr>
        <w:numPr>
          <w:ilvl w:val="4"/>
          <w:numId w:val="6"/>
        </w:numPr>
        <w:ind w:hanging="360"/>
      </w:pPr>
      <w:r>
        <w:t xml:space="preserve">bieżącej </w:t>
      </w:r>
    </w:p>
    <w:p w:rsidR="00D229F3" w:rsidRDefault="00C37615">
      <w:pPr>
        <w:numPr>
          <w:ilvl w:val="4"/>
          <w:numId w:val="6"/>
        </w:numPr>
        <w:ind w:hanging="360"/>
      </w:pPr>
      <w:r>
        <w:t xml:space="preserve">śródrocznej </w:t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końcowej. </w:t>
      </w:r>
    </w:p>
    <w:p w:rsidR="00D229F3" w:rsidRDefault="00C37615">
      <w:pPr>
        <w:numPr>
          <w:ilvl w:val="1"/>
          <w:numId w:val="3"/>
        </w:numPr>
        <w:spacing w:after="58"/>
        <w:ind w:hanging="360"/>
      </w:pPr>
      <w:r>
        <w:t xml:space="preserve">przykładowe arkusze wspierające nauczyciela w prowadzeniu oceniania formatywnego  i </w:t>
      </w:r>
      <w:proofErr w:type="spellStart"/>
      <w:r>
        <w:t>sumatywnego</w:t>
      </w:r>
      <w:proofErr w:type="spellEnd"/>
      <w:r>
        <w:t xml:space="preserve">  </w:t>
      </w:r>
    </w:p>
    <w:p w:rsidR="00D229F3" w:rsidRDefault="00C37615">
      <w:pPr>
        <w:numPr>
          <w:ilvl w:val="1"/>
          <w:numId w:val="3"/>
        </w:numPr>
        <w:spacing w:after="0" w:line="330" w:lineRule="auto"/>
        <w:ind w:hanging="360"/>
      </w:pPr>
      <w:r>
        <w:t xml:space="preserve">zestawy testów i sprawdzianów umożliwiających sprawdzenie wiedzy przedmiotowej  i umiejętności;  </w:t>
      </w:r>
    </w:p>
    <w:p w:rsidR="00D229F3" w:rsidRDefault="00C37615">
      <w:pPr>
        <w:spacing w:after="175"/>
      </w:pPr>
      <w:r>
        <w:t xml:space="preserve">Opracowany zestaw narzędzi do monitorowania postępów ucznia musi być kompatybilny z podejściem do nauczania przyjętym w programie nauczania oraz opracowanym do niego poradnikiem metodycznym. Zaproponowane narzędzia winny odzwierciedlać zastosowanie zindywidualizowanego podejścia do ucznia i koncentrować się na motywującej i wspierającej funkcji oceniania w całym procesie kształcenia zorientowanym na rozwijanie kompetencji kluczowych i umiejętności uniwersalnych. Oznacza to, że ocenianie prowadzone przy pomocy tak tworzonych narzędzi przede wszystkim informuje ucznia o jego mocnych i słabych stronach, wskazuje obszary wymagające poprawy i angażuje ucznia w proces nauczania/uczenia się, poprzez ocenianie koleżeńskie, samoocenę oraz proces refleksji dotyczący informacji zwrotnej na temat robionych postępów.  </w:t>
      </w:r>
    </w:p>
    <w:p w:rsidR="00D229F3" w:rsidRDefault="00C37615">
      <w:pPr>
        <w:spacing w:after="121"/>
      </w:pPr>
      <w:r>
        <w:t xml:space="preserve">Przykładowe arkusze ocen winny zawierać: </w:t>
      </w:r>
    </w:p>
    <w:p w:rsidR="00D229F3" w:rsidRDefault="00C37615">
      <w:pPr>
        <w:spacing w:after="136" w:line="300" w:lineRule="auto"/>
      </w:pPr>
      <w:r>
        <w:t xml:space="preserve">wyszczególnienie treści </w:t>
      </w:r>
      <w:r>
        <w:rPr>
          <w:color w:val="222222"/>
        </w:rPr>
        <w:t xml:space="preserve">Ponadto w uzupełnieniu do </w:t>
      </w:r>
      <w:r>
        <w:rPr>
          <w:b/>
          <w:color w:val="222222"/>
          <w:u w:val="single" w:color="222222"/>
        </w:rPr>
        <w:t>standardu merytoryczno</w:t>
      </w:r>
      <w:r>
        <w:rPr>
          <w:b/>
          <w:color w:val="222222"/>
        </w:rPr>
        <w:t xml:space="preserve">  </w:t>
      </w:r>
      <w:r>
        <w:rPr>
          <w:b/>
          <w:color w:val="222222"/>
          <w:u w:val="single" w:color="222222"/>
        </w:rPr>
        <w:t>– dydaktycznego</w:t>
      </w:r>
      <w:r>
        <w:rPr>
          <w:color w:val="222222"/>
        </w:rPr>
        <w:t xml:space="preserve"> przedstawiamy poniżej uszczegółowienie opisu wymagań związanych z narzędziem do pomiaru dydaktycznego oraz ewaluacji kompetencji kluczowych.</w:t>
      </w:r>
      <w:r>
        <w:rPr>
          <w:color w:val="222222"/>
          <w:sz w:val="24"/>
        </w:rPr>
        <w:t xml:space="preserve"> </w:t>
      </w:r>
    </w:p>
    <w:p w:rsidR="00D229F3" w:rsidRDefault="00C37615">
      <w:pPr>
        <w:spacing w:after="105" w:line="300" w:lineRule="auto"/>
      </w:pPr>
      <w:r>
        <w:rPr>
          <w:b/>
          <w:color w:val="222222"/>
        </w:rPr>
        <w:t xml:space="preserve">Narzędzia pomiaru dydaktycznego i narzędzia do ewaluacji procesu rozwijania kompetencji kluczowych </w:t>
      </w:r>
      <w:r>
        <w:rPr>
          <w:color w:val="222222"/>
        </w:rPr>
        <w:t>opracowane dla poszczególnych etapów edukacyjnych i obszarów przedmiotowych/przedmiotów oraz zgodne z założeniami merytorycznymi opisanymi w danym poradniku metodycznym: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3"/>
        </w:numPr>
        <w:spacing w:after="73" w:line="300" w:lineRule="auto"/>
      </w:pPr>
      <w:r>
        <w:rPr>
          <w:color w:val="222222"/>
        </w:rPr>
        <w:t>przykładowe arkusze ewaluacyjne pozwalające na prowadzenie oceny na różnych etapach kształcenia, np.: oceny:</w:t>
      </w:r>
      <w:r>
        <w:rPr>
          <w:color w:val="222222"/>
          <w:sz w:val="24"/>
        </w:rPr>
        <w:t xml:space="preserve"> </w:t>
      </w:r>
    </w:p>
    <w:p w:rsidR="00D229F3" w:rsidRDefault="00C37615">
      <w:pPr>
        <w:spacing w:after="14" w:line="366" w:lineRule="auto"/>
        <w:ind w:left="1133" w:right="5633" w:firstLine="0"/>
        <w:jc w:val="left"/>
      </w:pPr>
      <w:r>
        <w:rPr>
          <w:noProof/>
        </w:rPr>
        <w:drawing>
          <wp:inline distT="0" distB="0" distL="0" distR="0">
            <wp:extent cx="210312" cy="156972"/>
            <wp:effectExtent l="0" t="0" r="0" b="0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14"/>
        </w:rPr>
        <w:t xml:space="preserve">        </w:t>
      </w:r>
      <w:r>
        <w:rPr>
          <w:color w:val="222222"/>
        </w:rPr>
        <w:t>początkowej</w:t>
      </w:r>
      <w:r>
        <w:rPr>
          <w:color w:val="222222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10312" cy="156972"/>
            <wp:effectExtent l="0" t="0" r="0" b="0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14"/>
        </w:rPr>
        <w:t xml:space="preserve">        </w:t>
      </w:r>
      <w:r>
        <w:rPr>
          <w:color w:val="222222"/>
        </w:rPr>
        <w:t>bieżącej</w:t>
      </w:r>
      <w:r>
        <w:rPr>
          <w:color w:val="222222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10312" cy="156972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14"/>
        </w:rPr>
        <w:t xml:space="preserve">        </w:t>
      </w:r>
      <w:r>
        <w:rPr>
          <w:color w:val="222222"/>
        </w:rPr>
        <w:t>śródrocznej</w:t>
      </w:r>
      <w:r>
        <w:rPr>
          <w:color w:val="222222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10312" cy="156972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14"/>
        </w:rPr>
        <w:t xml:space="preserve">         </w:t>
      </w:r>
      <w:r>
        <w:rPr>
          <w:color w:val="222222"/>
        </w:rPr>
        <w:t>końcowej.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3"/>
        </w:numPr>
        <w:spacing w:after="105" w:line="300" w:lineRule="auto"/>
      </w:pPr>
      <w:r>
        <w:rPr>
          <w:color w:val="222222"/>
        </w:rPr>
        <w:lastRenderedPageBreak/>
        <w:t xml:space="preserve">przykładowe arkusze wspierające nauczyciela w prowadzeniu oceniania formatywnego i </w:t>
      </w:r>
      <w:proofErr w:type="spellStart"/>
      <w:r>
        <w:rPr>
          <w:color w:val="222222"/>
        </w:rPr>
        <w:t>sumatywnego</w:t>
      </w:r>
      <w:proofErr w:type="spellEnd"/>
      <w:r>
        <w:rPr>
          <w:color w:val="222222"/>
          <w:sz w:val="24"/>
        </w:rPr>
        <w:t xml:space="preserve"> </w:t>
      </w:r>
    </w:p>
    <w:p w:rsidR="00D229F3" w:rsidRDefault="00C37615">
      <w:pPr>
        <w:spacing w:after="142" w:line="300" w:lineRule="auto"/>
      </w:pPr>
      <w:r>
        <w:rPr>
          <w:color w:val="222222"/>
        </w:rPr>
        <w:t>Opracowany zestaw narzędzi do monitorowania postępów ucznia musi być kompatybilny z podejściem do nauczania przyjętym w programie nauczania oraz opracowanym do niego poradnikiem metodycznym. Zaproponowane narzędzia winny odzwierciedlać zastosowanie zindywidualizowanego podejścia do ucznia i koncentrować się na motywującej i wspierającej funkcji oceniania w całym procesie kształcenia zorientowanym na rozwijanie kompetencji kluczowych i umiejętności uniwersalnych. Oznacza to, że ocenianie prowadzone przy pomocy tak tworzonych narzędzi przede wszystkim informuje ucznia o jego mocnych i słabych stronach, wskazuje obszary wymagające poprawy i angażuje ucznia w proces nauczania/uczenia się, poprzez ocenianie koleżeńskie, samoocenę oraz proces refleksji dotyczący informacji zwrotnej na temat robionych postępów.</w:t>
      </w:r>
      <w:r>
        <w:rPr>
          <w:color w:val="222222"/>
          <w:sz w:val="24"/>
        </w:rPr>
        <w:t xml:space="preserve"> </w:t>
      </w:r>
    </w:p>
    <w:p w:rsidR="00D229F3" w:rsidRDefault="00C37615">
      <w:pPr>
        <w:spacing w:after="105" w:line="300" w:lineRule="auto"/>
      </w:pPr>
      <w:r>
        <w:rPr>
          <w:color w:val="222222"/>
        </w:rPr>
        <w:t>Przykładowe arkusze ocen winny zawierać: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4"/>
        </w:numPr>
        <w:spacing w:after="105" w:line="300" w:lineRule="auto"/>
      </w:pPr>
      <w:r>
        <w:rPr>
          <w:color w:val="222222"/>
        </w:rPr>
        <w:t>wyszczególnienie treści przedmiotowych/celów szczegółowych wynikające z podstawy programowej;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4"/>
        </w:numPr>
        <w:spacing w:after="105" w:line="300" w:lineRule="auto"/>
      </w:pPr>
      <w:r>
        <w:rPr>
          <w:color w:val="222222"/>
        </w:rPr>
        <w:t>wyszczególnienie umiejętności, poprzez które stopień opanowania wiedzy może być oceniany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4"/>
        </w:numPr>
        <w:spacing w:after="105" w:line="300" w:lineRule="auto"/>
      </w:pPr>
      <w:r>
        <w:rPr>
          <w:color w:val="222222"/>
        </w:rPr>
        <w:t>poziom opanowania wiedzy (np.: zapamiętanie, zrozumienie, zastosowanie, analiza, kreatywność)</w:t>
      </w:r>
      <w:r>
        <w:rPr>
          <w:color w:val="222222"/>
          <w:sz w:val="24"/>
        </w:rPr>
        <w:t xml:space="preserve"> </w:t>
      </w:r>
    </w:p>
    <w:p w:rsidR="00D229F3" w:rsidRDefault="00C37615">
      <w:pPr>
        <w:numPr>
          <w:ilvl w:val="0"/>
          <w:numId w:val="14"/>
        </w:numPr>
        <w:spacing w:after="62" w:line="300" w:lineRule="auto"/>
      </w:pPr>
      <w:r>
        <w:rPr>
          <w:color w:val="222222"/>
        </w:rPr>
        <w:t>zestaw kryteriów oceniania wraz z poziomem opanowania ocenianej wiedzy/umiejętności (zalecaną formą realizacji jest forma tabelaryczna)</w:t>
      </w:r>
      <w:r>
        <w:rPr>
          <w:color w:val="222222"/>
          <w:sz w:val="24"/>
        </w:rPr>
        <w:t xml:space="preserve"> </w:t>
      </w:r>
    </w:p>
    <w:p w:rsidR="00D229F3" w:rsidRDefault="00C37615">
      <w:pPr>
        <w:spacing w:after="105" w:line="300" w:lineRule="auto"/>
      </w:pPr>
      <w:r>
        <w:rPr>
          <w:color w:val="222222"/>
        </w:rPr>
        <w:t>Powyższe narzędzia mogą być stosowane wymiennie lub równolegle z systemem oceniania przyjętym w danej szkole/placówce edukacyjnej</w:t>
      </w:r>
      <w:r>
        <w:rPr>
          <w:color w:val="222222"/>
          <w:sz w:val="24"/>
        </w:rPr>
        <w:t xml:space="preserve">. </w:t>
      </w:r>
    </w:p>
    <w:p w:rsidR="00D229F3" w:rsidRDefault="00C37615">
      <w:pPr>
        <w:spacing w:after="83" w:line="330" w:lineRule="auto"/>
      </w:pPr>
      <w:r>
        <w:t xml:space="preserve">Powyższe arkusze winny umożliwiać badanie procesu kształtowania 11 kompetencji kluczowych  i umiejętności uniwersalnych. </w:t>
      </w:r>
    </w:p>
    <w:p w:rsidR="00D229F3" w:rsidRDefault="00C37615">
      <w:pPr>
        <w:spacing w:after="142"/>
      </w:pPr>
      <w:r>
        <w:t xml:space="preserve">Załącznikiem do niniejszego materiału jest tabela przedstawiająca kształtowanie kompetencji kluczowych w proponowanych, poszczególnych 53 zestawach narzędzi edukacyjnych podzielonych na przedmioty i etapy edukacyjne.  </w:t>
      </w:r>
    </w:p>
    <w:p w:rsidR="00D229F3" w:rsidRDefault="00C37615">
      <w:pPr>
        <w:spacing w:after="134" w:line="259" w:lineRule="auto"/>
        <w:ind w:left="0" w:firstLine="0"/>
        <w:jc w:val="left"/>
      </w:pPr>
      <w:r>
        <w:t xml:space="preserve"> </w:t>
      </w:r>
    </w:p>
    <w:p w:rsidR="00D229F3" w:rsidRDefault="00C3761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229F3">
      <w:pgSz w:w="11906" w:h="16838"/>
      <w:pgMar w:top="1452" w:right="1413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D" w:rsidRDefault="00621F4D">
      <w:pPr>
        <w:spacing w:after="0" w:line="240" w:lineRule="auto"/>
      </w:pPr>
      <w:r>
        <w:separator/>
      </w:r>
    </w:p>
  </w:endnote>
  <w:endnote w:type="continuationSeparator" w:id="0">
    <w:p w:rsidR="00621F4D" w:rsidRDefault="0062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D" w:rsidRDefault="00621F4D">
      <w:pPr>
        <w:spacing w:after="0" w:line="293" w:lineRule="auto"/>
        <w:ind w:left="0" w:right="340" w:firstLine="0"/>
      </w:pPr>
      <w:r>
        <w:separator/>
      </w:r>
    </w:p>
  </w:footnote>
  <w:footnote w:type="continuationSeparator" w:id="0">
    <w:p w:rsidR="00621F4D" w:rsidRDefault="00621F4D">
      <w:pPr>
        <w:spacing w:after="0" w:line="293" w:lineRule="auto"/>
        <w:ind w:left="0" w:right="340" w:firstLine="0"/>
      </w:pPr>
      <w:r>
        <w:continuationSeparator/>
      </w:r>
    </w:p>
  </w:footnote>
  <w:footnote w:id="1">
    <w:p w:rsidR="00D229F3" w:rsidRDefault="00C37615">
      <w:pPr>
        <w:pStyle w:val="footnotedescription"/>
        <w:spacing w:line="293" w:lineRule="auto"/>
        <w:ind w:right="340"/>
        <w:jc w:val="both"/>
      </w:pPr>
      <w:r>
        <w:rPr>
          <w:rStyle w:val="footnotemark"/>
        </w:rPr>
        <w:footnoteRef/>
      </w:r>
      <w:r>
        <w:t xml:space="preserve"> Szczegółowy opis wymagań dotyczących tworzenia programu nauczania i scenariuszy zajęć/lekcji zawierają </w:t>
      </w:r>
      <w:r>
        <w:rPr>
          <w:i/>
        </w:rPr>
        <w:t>Wytyczne do tworzenia programów nauczania i scenariuszy zajęć/ lekcji (wersja ostateczna)</w:t>
      </w:r>
      <w:r>
        <w:t xml:space="preserve">: </w:t>
      </w:r>
      <w:hyperlink r:id="rId1">
        <w:r>
          <w:rPr>
            <w:color w:val="0000FF"/>
            <w:u w:val="single" w:color="0000FF"/>
          </w:rPr>
          <w:t>https://www.ore.edu.pl/2018/07/tworzenie</w:t>
        </w:r>
      </w:hyperlink>
      <w:hyperlink r:id="rId2"/>
      <w:hyperlink r:id="rId3">
        <w:r>
          <w:rPr>
            <w:color w:val="0000FF"/>
            <w:u w:val="single" w:color="0000FF"/>
          </w:rPr>
          <w:t>programow</w:t>
        </w:r>
      </w:hyperlink>
      <w:hyperlink r:id="rId4">
        <w:r>
          <w:rPr>
            <w:color w:val="0000FF"/>
            <w:u w:val="single" w:color="0000FF"/>
          </w:rPr>
          <w:t>-</w:t>
        </w:r>
      </w:hyperlink>
      <w:hyperlink r:id="rId5">
        <w:r>
          <w:rPr>
            <w:color w:val="0000FF"/>
            <w:u w:val="single" w:color="0000FF"/>
          </w:rPr>
          <w:t>nauczania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materialy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do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pobrania/</w:t>
        </w:r>
      </w:hyperlink>
      <w:hyperlink r:id="rId12">
        <w:r>
          <w:t xml:space="preserve"> </w:t>
        </w:r>
      </w:hyperlink>
      <w:r>
        <w:t xml:space="preserve"> (dostęp:11.02.2020 r.) </w:t>
      </w:r>
    </w:p>
  </w:footnote>
  <w:footnote w:id="2">
    <w:p w:rsidR="00D229F3" w:rsidRDefault="00C37615">
      <w:pPr>
        <w:pStyle w:val="footnotedescription"/>
        <w:spacing w:line="256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20"/>
        </w:rPr>
        <w:t xml:space="preserve">Zgodnie z Rozporządzeniem Ministra Edukacji Narodowej </w:t>
      </w:r>
      <w:r>
        <w:rPr>
          <w:rFonts w:ascii="Calibri" w:eastAsia="Calibri" w:hAnsi="Calibri" w:cs="Calibri"/>
          <w:i/>
          <w:sz w:val="20"/>
        </w:rPr>
        <w:t>w sprawie oceniania, klasyfikowania i promowania uczniów i słuchaczy w szkołach publicznych</w:t>
      </w:r>
      <w:r>
        <w:rPr>
          <w:rFonts w:ascii="Calibri" w:eastAsia="Calibri" w:hAnsi="Calibri" w:cs="Calibri"/>
          <w:sz w:val="20"/>
        </w:rPr>
        <w:t xml:space="preserve"> z dnia 22 lutego 2019 r. (Dz.U. z dnia 26 lutego 2019 r. Poz. 373)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26F"/>
    <w:multiLevelType w:val="hybridMultilevel"/>
    <w:tmpl w:val="6854C848"/>
    <w:lvl w:ilvl="0" w:tplc="1A92C54E">
      <w:start w:val="1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E9694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FA586C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DB0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00E54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8C00A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4B28E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8FDF4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E9D0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7585D"/>
    <w:multiLevelType w:val="hybridMultilevel"/>
    <w:tmpl w:val="443ADC3C"/>
    <w:lvl w:ilvl="0" w:tplc="87D20A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CBE5C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83720">
      <w:start w:val="5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EEA3C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205F0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A1682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21AFC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6FD68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28D6E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6388E"/>
    <w:multiLevelType w:val="hybridMultilevel"/>
    <w:tmpl w:val="CC5A13B2"/>
    <w:lvl w:ilvl="0" w:tplc="EFAA05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299A8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43A0C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A06A0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ED880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5DDA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008E2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83BB6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4C72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F0CB9"/>
    <w:multiLevelType w:val="hybridMultilevel"/>
    <w:tmpl w:val="A35A5C06"/>
    <w:lvl w:ilvl="0" w:tplc="BA66510C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0D22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E9F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0DCE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208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E13B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8380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64CC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ECA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3A1CD1"/>
    <w:multiLevelType w:val="hybridMultilevel"/>
    <w:tmpl w:val="49FE2AE4"/>
    <w:lvl w:ilvl="0" w:tplc="BBFA07C2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600A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8FA1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4DF6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A8D7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09A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8D0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4DC4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6B7B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6036ED"/>
    <w:multiLevelType w:val="hybridMultilevel"/>
    <w:tmpl w:val="E40AE24C"/>
    <w:lvl w:ilvl="0" w:tplc="F8AA5B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2AC70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A7862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CAA02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C311A">
      <w:start w:val="1"/>
      <w:numFmt w:val="bullet"/>
      <w:lvlRestart w:val="0"/>
      <w:lvlText w:val="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03D2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CFA1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68FC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A77A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D1843"/>
    <w:multiLevelType w:val="hybridMultilevel"/>
    <w:tmpl w:val="F68AAF7E"/>
    <w:lvl w:ilvl="0" w:tplc="02782C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63216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40F94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8B020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8338E">
      <w:start w:val="1"/>
      <w:numFmt w:val="bullet"/>
      <w:lvlRestart w:val="0"/>
      <w:lvlText w:val="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490DC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E8B07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8396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A2B6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E66F7"/>
    <w:multiLevelType w:val="hybridMultilevel"/>
    <w:tmpl w:val="AF04D050"/>
    <w:lvl w:ilvl="0" w:tplc="461E38C6">
      <w:start w:val="1"/>
      <w:numFmt w:val="upperRoman"/>
      <w:lvlText w:val="%1.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89F8A">
      <w:start w:val="1"/>
      <w:numFmt w:val="lowerLetter"/>
      <w:lvlText w:val="%2)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ECF94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8C02C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6450E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4E3D8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A7816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861D2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60A4E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B3791"/>
    <w:multiLevelType w:val="hybridMultilevel"/>
    <w:tmpl w:val="E99209D6"/>
    <w:lvl w:ilvl="0" w:tplc="A5F2CC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21F00">
      <w:start w:val="1"/>
      <w:numFmt w:val="lowerLetter"/>
      <w:lvlText w:val="%2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27E54">
      <w:start w:val="5"/>
      <w:numFmt w:val="lowerLetter"/>
      <w:lvlRestart w:val="0"/>
      <w:lvlText w:val="%3)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6F84">
      <w:start w:val="1"/>
      <w:numFmt w:val="decimal"/>
      <w:lvlText w:val="%4"/>
      <w:lvlJc w:val="left"/>
      <w:pPr>
        <w:ind w:left="1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76E7E6">
      <w:start w:val="1"/>
      <w:numFmt w:val="lowerLetter"/>
      <w:lvlText w:val="%5"/>
      <w:lvlJc w:val="left"/>
      <w:pPr>
        <w:ind w:left="2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A6CDC">
      <w:start w:val="1"/>
      <w:numFmt w:val="lowerRoman"/>
      <w:lvlText w:val="%6"/>
      <w:lvlJc w:val="left"/>
      <w:pPr>
        <w:ind w:left="3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27136">
      <w:start w:val="1"/>
      <w:numFmt w:val="decimal"/>
      <w:lvlText w:val="%7"/>
      <w:lvlJc w:val="left"/>
      <w:pPr>
        <w:ind w:left="3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0C6FE">
      <w:start w:val="1"/>
      <w:numFmt w:val="lowerLetter"/>
      <w:lvlText w:val="%8"/>
      <w:lvlJc w:val="left"/>
      <w:pPr>
        <w:ind w:left="4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8F7B4">
      <w:start w:val="1"/>
      <w:numFmt w:val="lowerRoman"/>
      <w:lvlText w:val="%9"/>
      <w:lvlJc w:val="left"/>
      <w:pPr>
        <w:ind w:left="5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2A36BB"/>
    <w:multiLevelType w:val="hybridMultilevel"/>
    <w:tmpl w:val="D47EA2E6"/>
    <w:lvl w:ilvl="0" w:tplc="C532C0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466CC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A26C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22F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824D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0D0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A629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AC09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8FE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0B0E5F"/>
    <w:multiLevelType w:val="hybridMultilevel"/>
    <w:tmpl w:val="FB082A88"/>
    <w:lvl w:ilvl="0" w:tplc="07AEF3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053A8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8D742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E413C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A6590">
      <w:start w:val="1"/>
      <w:numFmt w:val="bullet"/>
      <w:lvlRestart w:val="0"/>
      <w:lvlText w:val="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B8BDFA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080F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04E9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81C3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8341A"/>
    <w:multiLevelType w:val="hybridMultilevel"/>
    <w:tmpl w:val="FDBEF6D2"/>
    <w:lvl w:ilvl="0" w:tplc="5DE0E6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E7E54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A86EC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CD23C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29AAE">
      <w:start w:val="1"/>
      <w:numFmt w:val="bullet"/>
      <w:lvlRestart w:val="0"/>
      <w:lvlText w:val="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04CC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467C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C5B1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0638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8591E"/>
    <w:multiLevelType w:val="hybridMultilevel"/>
    <w:tmpl w:val="30EAEEEA"/>
    <w:lvl w:ilvl="0" w:tplc="17BAA3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81B5A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16D2">
      <w:start w:val="1"/>
      <w:numFmt w:val="bullet"/>
      <w:lvlText w:val="▪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C46B4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6F1F2">
      <w:start w:val="1"/>
      <w:numFmt w:val="bullet"/>
      <w:lvlRestart w:val="0"/>
      <w:lvlText w:val="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004A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AD3D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9BD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E3E7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50861"/>
    <w:multiLevelType w:val="hybridMultilevel"/>
    <w:tmpl w:val="2632D782"/>
    <w:lvl w:ilvl="0" w:tplc="2EF017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42716">
      <w:start w:val="1"/>
      <w:numFmt w:val="bullet"/>
      <w:lvlRestart w:val="0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C4BB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4ED9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646F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60448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D1D2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1282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5294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F3"/>
    <w:rsid w:val="002671A3"/>
    <w:rsid w:val="003362A3"/>
    <w:rsid w:val="00552067"/>
    <w:rsid w:val="00621F4D"/>
    <w:rsid w:val="00C37615"/>
    <w:rsid w:val="00D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152"/>
  <w15:docId w15:val="{6A4CE533-C8DC-40EB-89F2-B23A0CF0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right="17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8/07/tworzenie-programow-nauczania-materialy-do-pobrania/" TargetMode="External"/><Relationship Id="rId3" Type="http://schemas.openxmlformats.org/officeDocument/2006/relationships/hyperlink" Target="https://www.ore.edu.pl/2018/07/tworzenie-programow-nauczania-materialy-do-pobrania/" TargetMode="External"/><Relationship Id="rId7" Type="http://schemas.openxmlformats.org/officeDocument/2006/relationships/hyperlink" Target="https://www.ore.edu.pl/2018/07/tworzenie-programow-nauczania-materialy-do-pobrania/" TargetMode="External"/><Relationship Id="rId12" Type="http://schemas.openxmlformats.org/officeDocument/2006/relationships/hyperlink" Target="https://www.ore.edu.pl/2018/07/tworzenie-programow-nauczania-materialy-do-pobrania/" TargetMode="External"/><Relationship Id="rId2" Type="http://schemas.openxmlformats.org/officeDocument/2006/relationships/hyperlink" Target="https://www.ore.edu.pl/2018/07/tworzenie-programow-nauczania-materialy-do-pobrania/" TargetMode="External"/><Relationship Id="rId1" Type="http://schemas.openxmlformats.org/officeDocument/2006/relationships/hyperlink" Target="https://www.ore.edu.pl/2018/07/tworzenie-programow-nauczania-materialy-do-pobrania/" TargetMode="External"/><Relationship Id="rId6" Type="http://schemas.openxmlformats.org/officeDocument/2006/relationships/hyperlink" Target="https://www.ore.edu.pl/2018/07/tworzenie-programow-nauczania-materialy-do-pobrania/" TargetMode="External"/><Relationship Id="rId11" Type="http://schemas.openxmlformats.org/officeDocument/2006/relationships/hyperlink" Target="https://www.ore.edu.pl/2018/07/tworzenie-programow-nauczania-materialy-do-pobrania/" TargetMode="External"/><Relationship Id="rId5" Type="http://schemas.openxmlformats.org/officeDocument/2006/relationships/hyperlink" Target="https://www.ore.edu.pl/2018/07/tworzenie-programow-nauczania-materialy-do-pobrania/" TargetMode="External"/><Relationship Id="rId10" Type="http://schemas.openxmlformats.org/officeDocument/2006/relationships/hyperlink" Target="https://www.ore.edu.pl/2018/07/tworzenie-programow-nauczania-materialy-do-pobrania/" TargetMode="External"/><Relationship Id="rId4" Type="http://schemas.openxmlformats.org/officeDocument/2006/relationships/hyperlink" Target="https://www.ore.edu.pl/2018/07/tworzenie-programow-nauczania-materialy-do-pobrania/" TargetMode="External"/><Relationship Id="rId9" Type="http://schemas.openxmlformats.org/officeDocument/2006/relationships/hyperlink" Target="https://www.ore.edu.pl/2018/07/tworzenie-programow-nauczania-materialy-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cp:lastModifiedBy>Anna Wesołowska</cp:lastModifiedBy>
  <cp:revision>3</cp:revision>
  <dcterms:created xsi:type="dcterms:W3CDTF">2023-05-30T09:27:00Z</dcterms:created>
  <dcterms:modified xsi:type="dcterms:W3CDTF">2023-06-05T11:50:00Z</dcterms:modified>
</cp:coreProperties>
</file>