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81" w:rsidRPr="001E6981" w:rsidRDefault="001E6981" w:rsidP="001E6981">
      <w:bookmarkStart w:id="0" w:name="_GoBack"/>
      <w:bookmarkEnd w:id="0"/>
    </w:p>
    <w:p w:rsidR="001E6981" w:rsidRDefault="001E6981" w:rsidP="001E6981"/>
    <w:p w:rsidR="00433089" w:rsidRPr="00433089" w:rsidRDefault="001E6981" w:rsidP="00433089">
      <w:pPr>
        <w:spacing w:before="91"/>
        <w:ind w:left="676"/>
        <w:rPr>
          <w:rFonts w:asciiTheme="minorHAnsi" w:hAnsiTheme="minorHAnsi" w:cstheme="minorHAnsi"/>
          <w:b/>
        </w:rPr>
      </w:pPr>
      <w:r w:rsidRPr="00433089">
        <w:rPr>
          <w:rFonts w:asciiTheme="minorHAnsi" w:hAnsiTheme="minorHAnsi" w:cstheme="minorHAnsi"/>
          <w:b/>
        </w:rPr>
        <w:t>Załącznik nr 7 -</w:t>
      </w:r>
      <w:r w:rsidR="00433089" w:rsidRPr="00433089">
        <w:rPr>
          <w:rFonts w:cstheme="minorHAnsi"/>
          <w:b/>
          <w:sz w:val="24"/>
          <w:szCs w:val="24"/>
        </w:rPr>
        <w:t xml:space="preserve"> </w:t>
      </w:r>
      <w:r w:rsidR="00433089" w:rsidRPr="00433089">
        <w:rPr>
          <w:rFonts w:asciiTheme="minorHAnsi" w:hAnsiTheme="minorHAnsi" w:cstheme="minorHAnsi"/>
          <w:b/>
        </w:rPr>
        <w:t>Zestawienie standardów i cen rynkowych wybranych wydatków ponoszonych w ramach projektu niekonkurencyjnego pn. „</w:t>
      </w:r>
      <w:r w:rsidR="00A04FD7" w:rsidRPr="00A04FD7">
        <w:rPr>
          <w:rFonts w:asciiTheme="minorHAnsi" w:hAnsiTheme="minorHAnsi" w:cstheme="minorHAnsi"/>
          <w:b/>
          <w:bCs/>
        </w:rPr>
        <w:t>Popularyzacja zestawów narzędzi edukacyjnych oraz metod nauczania i uczenia się wspomagających rozwój kluczowych kompetencji i kwalifikacji dostosowanych do potrzeb rynku pracy</w:t>
      </w:r>
      <w:r w:rsidR="00433089" w:rsidRPr="00A04FD7">
        <w:rPr>
          <w:rFonts w:asciiTheme="minorHAnsi" w:hAnsiTheme="minorHAnsi" w:cstheme="minorHAnsi"/>
          <w:b/>
        </w:rPr>
        <w:t>” realizowanego</w:t>
      </w:r>
      <w:r w:rsidR="00433089" w:rsidRPr="00433089">
        <w:rPr>
          <w:rFonts w:asciiTheme="minorHAnsi" w:hAnsiTheme="minorHAnsi" w:cstheme="minorHAnsi"/>
          <w:b/>
        </w:rPr>
        <w:t xml:space="preserve"> w ramach Program Fundusze Europejskie dla Rozwoju Społecznego</w:t>
      </w:r>
      <w:r w:rsidR="00433089" w:rsidRPr="00433089">
        <w:rPr>
          <w:rFonts w:asciiTheme="minorHAnsi" w:hAnsiTheme="minorHAnsi" w:cstheme="minorHAnsi"/>
          <w:b/>
          <w:bCs/>
        </w:rPr>
        <w:t>, Działanie 01.04 Rozwój systemu edukacji,</w:t>
      </w:r>
      <w:r w:rsidR="00433089" w:rsidRPr="00433089">
        <w:rPr>
          <w:rFonts w:asciiTheme="minorHAnsi" w:hAnsiTheme="minorHAnsi" w:cstheme="minorHAnsi"/>
          <w:b/>
        </w:rPr>
        <w:t xml:space="preserve"> stanowiącego podstawę do oceny prawidłowości konstruowania budżetu projektu weryfikowanego przez Instytucję Pośredniczącą </w:t>
      </w:r>
      <w:proofErr w:type="spellStart"/>
      <w:r w:rsidR="00433089" w:rsidRPr="00433089">
        <w:rPr>
          <w:rFonts w:asciiTheme="minorHAnsi" w:hAnsiTheme="minorHAnsi" w:cstheme="minorHAnsi"/>
          <w:b/>
        </w:rPr>
        <w:t>MEiN</w:t>
      </w:r>
      <w:proofErr w:type="spellEnd"/>
    </w:p>
    <w:p w:rsidR="001E6981" w:rsidRDefault="001E6981" w:rsidP="001E6981"/>
    <w:tbl>
      <w:tblPr>
        <w:tblStyle w:val="Tabela-Siatka"/>
        <w:tblW w:w="1408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570"/>
        <w:gridCol w:w="2260"/>
        <w:gridCol w:w="2853"/>
      </w:tblGrid>
      <w:tr w:rsidR="001E6981" w:rsidTr="00867F1A">
        <w:trPr>
          <w:trHeight w:val="498"/>
        </w:trPr>
        <w:tc>
          <w:tcPr>
            <w:tcW w:w="562" w:type="dxa"/>
            <w:vAlign w:val="center"/>
          </w:tcPr>
          <w:p w:rsidR="001E6981" w:rsidRDefault="001E6981" w:rsidP="001E6981">
            <w:pPr>
              <w:jc w:val="center"/>
            </w:pPr>
            <w:r>
              <w:t>Lp.</w:t>
            </w:r>
          </w:p>
        </w:tc>
        <w:tc>
          <w:tcPr>
            <w:tcW w:w="2835" w:type="dxa"/>
            <w:vAlign w:val="center"/>
          </w:tcPr>
          <w:p w:rsidR="001E6981" w:rsidRDefault="001E6981" w:rsidP="001E6981">
            <w:pPr>
              <w:jc w:val="center"/>
            </w:pPr>
            <w:r>
              <w:t>Towar/Usługa</w:t>
            </w:r>
          </w:p>
        </w:tc>
        <w:tc>
          <w:tcPr>
            <w:tcW w:w="5570" w:type="dxa"/>
            <w:vAlign w:val="center"/>
          </w:tcPr>
          <w:p w:rsidR="001E6981" w:rsidRDefault="001E6981" w:rsidP="001E6981">
            <w:pPr>
              <w:jc w:val="center"/>
            </w:pPr>
            <w:r>
              <w:t>Standard –warunki kwalifikowania wydatku na etapie oceny projektów</w:t>
            </w:r>
          </w:p>
        </w:tc>
        <w:tc>
          <w:tcPr>
            <w:tcW w:w="2260" w:type="dxa"/>
            <w:vAlign w:val="center"/>
          </w:tcPr>
          <w:p w:rsidR="001E6981" w:rsidRDefault="001E6981" w:rsidP="001E6981">
            <w:pPr>
              <w:jc w:val="center"/>
            </w:pPr>
            <w:r>
              <w:t>Maksymalna cena</w:t>
            </w:r>
          </w:p>
        </w:tc>
        <w:tc>
          <w:tcPr>
            <w:tcW w:w="2853" w:type="dxa"/>
            <w:vAlign w:val="center"/>
          </w:tcPr>
          <w:p w:rsidR="001E6981" w:rsidRDefault="001E6981" w:rsidP="001E6981">
            <w:pPr>
              <w:jc w:val="center"/>
            </w:pPr>
            <w:r>
              <w:t>Dodatkowe zalecenia</w:t>
            </w:r>
          </w:p>
        </w:tc>
      </w:tr>
      <w:tr w:rsidR="001E6981" w:rsidTr="00867F1A">
        <w:tc>
          <w:tcPr>
            <w:tcW w:w="562" w:type="dxa"/>
            <w:vAlign w:val="center"/>
          </w:tcPr>
          <w:p w:rsidR="001E6981" w:rsidRPr="00153DBC" w:rsidRDefault="001E6981" w:rsidP="00CF45B9">
            <w:pPr>
              <w:pStyle w:val="TableParagraph"/>
              <w:numPr>
                <w:ilvl w:val="0"/>
                <w:numId w:val="27"/>
              </w:numPr>
              <w:ind w:right="2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Przerwa kawowa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9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2"/>
              <w:ind w:right="2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forma wsparcia, w ramach której ma być świadczona przerwa kawowa dla tej samej grupy osób w danym dniu trwa co najmniej 2 godziny lekcyjne; w przypadku, gdy wsparcie dla tej samej grupy osób w danym dniu trwa powyżej 6 godzin lekcyjnych (tj. 6 x 45 minut) istnieje możliwość zapewnienia drugiej przerwy kawowej (nie dotyczy przypadku, gdy przewidziany jest zimny bufet) lub przerwy</w:t>
            </w:r>
            <w:r w:rsidRPr="00153DB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ciągłej.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9"/>
              <w:ind w:right="12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wodę (w szklanych butelkach lub woda z dystrybutorów wody pitnej serwowana w szklanych dzbankach), mleko, cukier lub jego zamiennik, cytrynę, drobne słone lub słodkie przekąski typu paluszki lub kruche ciastka lub owoce,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8"/>
              <w:ind w:right="1474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powinna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7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7"/>
              </w:rPr>
            </w:pPr>
          </w:p>
          <w:p w:rsidR="00CF45B9" w:rsidRDefault="001E6981" w:rsidP="001E6981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Jednorazowa – 33 zł </w:t>
            </w:r>
          </w:p>
          <w:p w:rsidR="001E6981" w:rsidRPr="00153DBC" w:rsidRDefault="001E6981" w:rsidP="001E6981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Ciągła – 55 zł</w:t>
            </w:r>
          </w:p>
        </w:tc>
        <w:tc>
          <w:tcPr>
            <w:tcW w:w="2853" w:type="dxa"/>
            <w:vAlign w:val="center"/>
          </w:tcPr>
          <w:p w:rsidR="001E6981" w:rsidRPr="00153DBC" w:rsidRDefault="001E6981" w:rsidP="001E69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E6981" w:rsidTr="00867F1A">
        <w:tc>
          <w:tcPr>
            <w:tcW w:w="562" w:type="dxa"/>
            <w:vAlign w:val="center"/>
          </w:tcPr>
          <w:p w:rsidR="001E6981" w:rsidRPr="00153DBC" w:rsidRDefault="001E6981" w:rsidP="00CF45B9">
            <w:pPr>
              <w:pStyle w:val="TableParagraph"/>
              <w:numPr>
                <w:ilvl w:val="0"/>
                <w:numId w:val="27"/>
              </w:numPr>
              <w:ind w:right="2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153DBC">
              <w:rPr>
                <w:rFonts w:asciiTheme="minorHAnsi" w:hAnsiTheme="minorHAnsi" w:cstheme="minorHAnsi"/>
                <w:w w:val="110"/>
              </w:rPr>
              <w:t xml:space="preserve">Lunch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 xml:space="preserve">obiad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>kolacja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Default="001E6981" w:rsidP="001E698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dwa dania (zupa i drugie danie) oraz napój (w szklanych butelkach lub woda z dystrybutora wody pitnej w szklanych dzbankach),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1"/>
              <w:ind w:right="6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kwalifikowalny jest posiłek specjalny (np. bezglutenowy, bez laktozy, koszerny), w szczególności jeśli zgłoszone zostały specjalne potrzeby uczestników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2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153DBC">
              <w:rPr>
                <w:rFonts w:asciiTheme="minorHAnsi" w:hAnsiTheme="minorHAnsi" w:cstheme="minorHAnsi"/>
              </w:rPr>
              <w:t>biodegradalnych</w:t>
            </w:r>
            <w:proofErr w:type="spellEnd"/>
            <w:r w:rsidRPr="00153DBC">
              <w:rPr>
                <w:rFonts w:asciiTheme="minorHAnsi" w:hAnsiTheme="minorHAnsi" w:cstheme="minorHAnsi"/>
              </w:rPr>
              <w:t>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0"/>
              <w:ind w:right="12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lunchu/obiadu wydatek kwalifikowalny, o ile wsparcie dla tej samej grupy osób w danym dniu trwa co najmniej 6 godzin lekcyjnych (tj. 6 x 45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minut).</w:t>
            </w:r>
          </w:p>
          <w:p w:rsidR="001E6981" w:rsidRPr="001839C8" w:rsidRDefault="001E6981" w:rsidP="001E698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kolacji wydatek kwalifikowalny, o ile finansowana jest równocześnie usługa</w:t>
            </w:r>
            <w:r w:rsidRPr="00153DB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noclegowa.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7"/>
              </w:rPr>
            </w:pPr>
            <w:r w:rsidRPr="00153DBC">
              <w:rPr>
                <w:rFonts w:asciiTheme="minorHAnsi" w:hAnsiTheme="minorHAnsi" w:cstheme="minorHAnsi"/>
              </w:rPr>
              <w:t>60 zł</w:t>
            </w:r>
          </w:p>
        </w:tc>
        <w:tc>
          <w:tcPr>
            <w:tcW w:w="2853" w:type="dxa"/>
          </w:tcPr>
          <w:p w:rsidR="001E6981" w:rsidRDefault="001E6981" w:rsidP="001E69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981" w:rsidTr="00867F1A">
        <w:tc>
          <w:tcPr>
            <w:tcW w:w="562" w:type="dxa"/>
            <w:vAlign w:val="center"/>
          </w:tcPr>
          <w:p w:rsidR="001E6981" w:rsidRPr="00153DBC" w:rsidRDefault="001E6981" w:rsidP="00CF45B9">
            <w:pPr>
              <w:pStyle w:val="TableParagraph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Zimny bufet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kwalifikowalny, o ile jest to </w:t>
            </w:r>
            <w:r w:rsidRPr="00153DBC">
              <w:rPr>
                <w:rFonts w:asciiTheme="minorHAnsi" w:hAnsiTheme="minorHAnsi" w:cstheme="minorHAnsi"/>
              </w:rPr>
              <w:lastRenderedPageBreak/>
              <w:t>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9"/>
              <w:ind w:right="10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forma wsparcia, w ramach której ma być świadczony zimny bufet dla tej samej grupy osób w danym dniu trwa co najmniej 4 godziny lekcyjne (tj. 4 x 45 minut) i nie jest przewidziany lunch/obiad/przerwa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kawowa.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1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napój (w szklanych butelkach lub woda z dystrybutorów wody pitnej w szklanych dzbankach), mleko, cukier, cytryna, drobne słone lub słodkie przekąski typu paluszki lub kruche ciastka lub owoce, kanapki, przekąski koktajlowe,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141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powinien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260" w:type="dxa"/>
            <w:vAlign w:val="center"/>
          </w:tcPr>
          <w:p w:rsidR="001E6981" w:rsidRDefault="001E6981" w:rsidP="001E6981">
            <w:pPr>
              <w:pStyle w:val="TableParagraph"/>
              <w:spacing w:before="3"/>
              <w:ind w:left="1007" w:right="1007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C33F27" w:rsidRDefault="00C33F27" w:rsidP="001E6981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</w:p>
          <w:p w:rsidR="001E6981" w:rsidRPr="00153DBC" w:rsidRDefault="001E6981" w:rsidP="00C33F27">
            <w:pPr>
              <w:pStyle w:val="TableParagraph"/>
              <w:spacing w:before="3"/>
              <w:ind w:right="3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 </w:t>
            </w:r>
            <w:r w:rsidRPr="00153DBC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2853" w:type="dxa"/>
          </w:tcPr>
          <w:p w:rsidR="001E6981" w:rsidRPr="00153DBC" w:rsidRDefault="001E6981" w:rsidP="001E6981">
            <w:pPr>
              <w:rPr>
                <w:rFonts w:asciiTheme="minorHAnsi" w:hAnsiTheme="minorHAnsi" w:cstheme="minorHAnsi"/>
              </w:rPr>
            </w:pPr>
          </w:p>
        </w:tc>
      </w:tr>
      <w:tr w:rsidR="001E6981" w:rsidTr="00867F1A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ind w:left="103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</w:rPr>
              <w:t>Nocleg w kraju</w:t>
            </w:r>
            <w:r w:rsidRPr="00153DBC">
              <w:rPr>
                <w:rFonts w:asciiTheme="minorHAnsi" w:hAnsiTheme="minorHAnsi" w:cstheme="minorHAnsi"/>
                <w:position w:val="8"/>
                <w:sz w:val="14"/>
              </w:rPr>
              <w:t>1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15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możliwość zagwarantowania noclegu dotyczy uczestników, którzy posiadają miejsce zamieszkania w miejscowości innej niż ta miejscowość, w której odbywa się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wsparcie.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23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kwalifikowalny, o ile wsparcie (np. szkolenie, spotkanie) dla tej samej grupy osób trwa co najmniej 2 dni, z zastrzeżeniem że w przypadku </w:t>
            </w:r>
            <w:r w:rsidRPr="00153DBC">
              <w:rPr>
                <w:rFonts w:asciiTheme="minorHAnsi" w:hAnsiTheme="minorHAnsi" w:cstheme="minorHAnsi"/>
              </w:rPr>
              <w:lastRenderedPageBreak/>
              <w:t>wsparcia trwającego nie dłużej niż jeden dzień wydatek kwalifikowalny w sytuacji, gdy miejsce prowadzenia wsparcia jest oddalone od miejsca zamieszkania osoby w niej uczestniczącej o więcej niż 50 km (droga publiczną, a nie w linii prostej), a jednocześnie wsparcie zaczyna się przed godziną 9.00 lub kończy się po godzinie 17.00, chyba że nie ma dostępnego dojazdu publicznymi środkami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transportu.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 w miejscu noclegowym o standardzie hotelu maksymalnie 3* wraz ze śniadaniem, przy czym istnieje możliwość szerszego zakresu usługi, o ile mieści się w określonej standardem cenie rynkowej i jest to uzasadnione celami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27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nocleg, co do zasady w pokojach 2-osobowych (nocleg w pokojach 1-osobowych jest kwalifikowalny tylko w uzasadnionych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przypadkach).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290 zł</w:t>
            </w:r>
          </w:p>
        </w:tc>
        <w:tc>
          <w:tcPr>
            <w:tcW w:w="2853" w:type="dxa"/>
          </w:tcPr>
          <w:p w:rsidR="001E6981" w:rsidRPr="00153DBC" w:rsidRDefault="001E6981" w:rsidP="001E6981">
            <w:pPr>
              <w:pStyle w:val="TableParagraph"/>
              <w:spacing w:before="1"/>
              <w:ind w:left="103" w:right="1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Zaleca się zachowanie zgodności z zasadą zrównoważonego rozwoju poprzez kwaterowanie uczestników projektu w miejscu, gdzie dojazd możliwy jest za pomocą publicznego środka transportu, możliwie jak </w:t>
            </w:r>
            <w:r w:rsidRPr="00153DBC">
              <w:rPr>
                <w:rFonts w:asciiTheme="minorHAnsi" w:hAnsiTheme="minorHAnsi" w:cstheme="minorHAnsi"/>
              </w:rPr>
              <w:lastRenderedPageBreak/>
              <w:t>najbliżej miejsca wsparcia.</w:t>
            </w:r>
          </w:p>
        </w:tc>
      </w:tr>
      <w:tr w:rsidR="001E6981" w:rsidTr="00867F1A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 w:right="547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Zwrot kosztów dojazdu uczestników projektu</w:t>
            </w:r>
            <w:r w:rsidRPr="00153DBC">
              <w:rPr>
                <w:rFonts w:asciiTheme="minorHAnsi" w:hAnsiTheme="minorHAnsi" w:cstheme="minorHAnsi"/>
                <w:w w:val="105"/>
                <w:position w:val="8"/>
                <w:sz w:val="14"/>
              </w:rPr>
              <w:t>2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1"/>
              <w:ind w:right="32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związku z uzasadnionymi potrzebami grupy docelowej (np. koszty dojazdów dla osób niepełnosprawnych,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bezrobotnych).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9"/>
              <w:ind w:right="29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do wysokości opłat za środki transportu publicznego szynowego lub kołowego zgodnie z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cennikiem</w:t>
            </w:r>
            <w:r>
              <w:t xml:space="preserve"> </w:t>
            </w:r>
            <w:r w:rsidRPr="001E6981">
              <w:rPr>
                <w:rFonts w:asciiTheme="minorHAnsi" w:hAnsiTheme="minorHAnsi" w:cstheme="minorHAnsi"/>
              </w:rPr>
              <w:t>biletów II klasy obowiązującym na danym obszarze, także w przypadku korzystania ze środków transportu prywatnego (w szczególności samochodem lub taksówką) lub tam gdzie zamiast skorzystania z transportu szynowego lub kołowego uzasadnione jest skorzystanie z transportu lotniczego, jako refundacja wydatku faktycznie poniesionego do ww. wysokości.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Cena uzależniona od rodzaju środka transportu i odległości.</w:t>
            </w:r>
          </w:p>
        </w:tc>
        <w:tc>
          <w:tcPr>
            <w:tcW w:w="2853" w:type="dxa"/>
          </w:tcPr>
          <w:p w:rsidR="001E6981" w:rsidRPr="00153DBC" w:rsidRDefault="001E6981" w:rsidP="001E6981">
            <w:pPr>
              <w:pStyle w:val="TableParagraph"/>
              <w:ind w:left="103" w:right="16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celu zachowania zgodności z zasadą zrównoważonego rozwoju rekomenduje</w:t>
            </w:r>
            <w:r>
              <w:t xml:space="preserve"> </w:t>
            </w:r>
            <w:r w:rsidRPr="001E6981">
              <w:rPr>
                <w:rFonts w:asciiTheme="minorHAnsi" w:hAnsiTheme="minorHAnsi" w:cstheme="minorHAnsi"/>
              </w:rPr>
              <w:t>się wykorzystywanie transportu szynowego, o ile na danej trasie jest dostępny a korzystanie z niego nie wymusza ponoszenia dodatkowych kosztów związanych, np. z dodatkowym noclegiem.</w:t>
            </w:r>
          </w:p>
        </w:tc>
      </w:tr>
      <w:tr w:rsidR="001E6981" w:rsidTr="00867F1A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Spotkanie </w:t>
            </w:r>
            <w:r w:rsidRPr="00153DBC">
              <w:rPr>
                <w:rFonts w:asciiTheme="minorHAnsi" w:hAnsiTheme="minorHAnsi" w:cstheme="minorHAnsi"/>
              </w:rPr>
              <w:t xml:space="preserve">informacyjne/szkolenia </w:t>
            </w:r>
            <w:r w:rsidRPr="00153DBC">
              <w:rPr>
                <w:rFonts w:asciiTheme="minorHAnsi" w:hAnsiTheme="minorHAnsi" w:cstheme="minorHAnsi"/>
                <w:w w:val="105"/>
              </w:rPr>
              <w:t>obejmujące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right="154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wynajem sali </w:t>
            </w:r>
            <w:r w:rsidR="00867F1A">
              <w:rPr>
                <w:rFonts w:asciiTheme="minorHAnsi" w:hAnsiTheme="minorHAnsi" w:cstheme="minorHAnsi"/>
                <w:spacing w:val="-1"/>
              </w:rPr>
              <w:t>konferencyjnej/szkoleniowe</w:t>
            </w:r>
            <w:r w:rsidRPr="00153DBC">
              <w:rPr>
                <w:rFonts w:asciiTheme="minorHAnsi" w:hAnsiTheme="minorHAnsi" w:cstheme="minorHAnsi"/>
              </w:rPr>
              <w:t>j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right="417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wyposażenie techniczne sali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2"/>
              <w:ind w:right="7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 przypadku wynajmu </w:t>
            </w:r>
            <w:proofErr w:type="spellStart"/>
            <w:r w:rsidRPr="00153DBC">
              <w:rPr>
                <w:rFonts w:asciiTheme="minorHAnsi" w:hAnsiTheme="minorHAnsi" w:cstheme="minorHAnsi"/>
              </w:rPr>
              <w:t>sal</w:t>
            </w:r>
            <w:proofErr w:type="spellEnd"/>
            <w:r w:rsidRPr="00153DBC">
              <w:rPr>
                <w:rFonts w:asciiTheme="minorHAnsi" w:hAnsiTheme="minorHAnsi" w:cstheme="minorHAnsi"/>
              </w:rPr>
              <w:t xml:space="preserve"> należy przestrzegać wymogów związanych z dostępnością ujętych w standardzie architektonicznym, szkoleniowym stanowiących zał. nr 2 do Wytycznych.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ind w:left="103" w:right="529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Cena uzależniona od liczby osób, rodzaju spotkania i zakresu wsparcia.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1E6981" w:rsidTr="00867F1A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 w:right="70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Zakup materiałów dla </w:t>
            </w:r>
            <w:r w:rsidRPr="00153DBC">
              <w:rPr>
                <w:rFonts w:asciiTheme="minorHAnsi" w:hAnsiTheme="minorHAnsi" w:cstheme="minorHAnsi"/>
              </w:rPr>
              <w:t>uczestników szkolenia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9"/>
              <w:ind w:right="93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przewidziane są w ramach realizowanego projektu szkolenia/warsztaty/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doradztwo.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1"/>
              <w:ind w:right="14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przygotowania materiałów w formie cyfrowej należy zapewnić ich dostępność zgodnie ze standardem info-</w:t>
            </w:r>
            <w:proofErr w:type="spellStart"/>
            <w:r w:rsidRPr="00153DBC">
              <w:rPr>
                <w:rFonts w:asciiTheme="minorHAnsi" w:hAnsiTheme="minorHAnsi" w:cstheme="minorHAnsi"/>
              </w:rPr>
              <w:t>promo</w:t>
            </w:r>
            <w:proofErr w:type="spellEnd"/>
            <w:r w:rsidRPr="00153DBC">
              <w:rPr>
                <w:rFonts w:asciiTheme="minorHAnsi" w:hAnsiTheme="minorHAnsi" w:cstheme="minorHAnsi"/>
              </w:rPr>
              <w:t>, szkoleniowym, stanowiących zał. nr 2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Wytycznych.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8"/>
              <w:ind w:right="4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co do zasady nie są kwalifikowalne tzw. gadżety o charakterze promocyjnym.</w:t>
            </w:r>
          </w:p>
        </w:tc>
        <w:tc>
          <w:tcPr>
            <w:tcW w:w="2260" w:type="dxa"/>
            <w:vAlign w:val="center"/>
          </w:tcPr>
          <w:p w:rsidR="001E6981" w:rsidRPr="00153DBC" w:rsidRDefault="00867F1A" w:rsidP="001E6981">
            <w:pPr>
              <w:pStyle w:val="TableParagraph"/>
              <w:ind w:left="103" w:right="5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uzależniona od rodzaju </w:t>
            </w:r>
            <w:r w:rsidR="001E6981" w:rsidRPr="00153DBC">
              <w:rPr>
                <w:rFonts w:asciiTheme="minorHAnsi" w:hAnsiTheme="minorHAnsi" w:cstheme="minorHAnsi"/>
              </w:rPr>
              <w:t>wsparcia w projekcie</w:t>
            </w:r>
          </w:p>
        </w:tc>
        <w:tc>
          <w:tcPr>
            <w:tcW w:w="2853" w:type="dxa"/>
          </w:tcPr>
          <w:p w:rsidR="001E6981" w:rsidRPr="00153DBC" w:rsidRDefault="001E6981" w:rsidP="001E6981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się: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4"/>
              </w:numPr>
              <w:ind w:left="392" w:right="66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zachowanie zgodności z zasadą zrównoważonego rozwoju poprzez ograniczenie przekazywania materiałów w wersji papierowej na rzecz materiałów udostępnianych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formie elektronicznej.</w:t>
            </w:r>
          </w:p>
          <w:p w:rsidR="001E6981" w:rsidRPr="001E6981" w:rsidRDefault="001E6981" w:rsidP="001E6981">
            <w:pPr>
              <w:pStyle w:val="TableParagraph"/>
              <w:numPr>
                <w:ilvl w:val="0"/>
                <w:numId w:val="13"/>
              </w:numPr>
              <w:spacing w:before="13"/>
              <w:ind w:left="433" w:right="14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konieczności przygotowania materiałów dla uczestników zaleca się stosowanie papieru z r</w:t>
            </w:r>
            <w:r>
              <w:rPr>
                <w:rFonts w:asciiTheme="minorHAnsi" w:hAnsiTheme="minorHAnsi" w:cstheme="minorHAnsi"/>
              </w:rPr>
              <w:t xml:space="preserve">ecyklingu oraz innych produktów </w:t>
            </w:r>
            <w:r w:rsidRPr="001E6981">
              <w:rPr>
                <w:rFonts w:asciiTheme="minorHAnsi" w:hAnsiTheme="minorHAnsi" w:cstheme="minorHAnsi"/>
              </w:rPr>
              <w:t>wyprodukowanych z materiałów biodegradowalnych</w:t>
            </w:r>
          </w:p>
        </w:tc>
      </w:tr>
      <w:tr w:rsidR="001E6981" w:rsidTr="00867F1A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Nabycie komputera (zestaw: stacja, monitor, klawiatura, </w:t>
            </w:r>
            <w:r w:rsidRPr="00153DBC">
              <w:rPr>
                <w:rFonts w:asciiTheme="minorHAnsi" w:hAnsiTheme="minorHAnsi" w:cstheme="minorHAnsi"/>
              </w:rPr>
              <w:t>mysz, słuchawki, głośniki)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277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komputera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9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678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komputer posiada parametry biurowe z oprogramowaniem systemowym i podstawowym pakietem biurowym (licencja na 12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miesięcy).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2660 zł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1E6981" w:rsidTr="00867F1A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laptopa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1"/>
              <w:ind w:right="2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laptopa jest niezbędne w celu wspomagania zdalnego/niestacjonarnego/hybrydowego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laptop posiada parametry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biurowe.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3080 zł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1E6981" w:rsidTr="00867F1A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projektora multimedialnego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"/>
              <w:ind w:right="1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projektora multimedialnego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3260 zł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1E6981" w:rsidTr="00867F1A">
        <w:tc>
          <w:tcPr>
            <w:tcW w:w="562" w:type="dxa"/>
            <w:vAlign w:val="center"/>
          </w:tcPr>
          <w:p w:rsidR="001E6981" w:rsidRDefault="001E6981" w:rsidP="00CF45B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ekranu projekcyjnego</w:t>
            </w:r>
          </w:p>
        </w:tc>
        <w:tc>
          <w:tcPr>
            <w:tcW w:w="5570" w:type="dxa"/>
          </w:tcPr>
          <w:p w:rsidR="001E6981" w:rsidRPr="00153DBC" w:rsidRDefault="001E6981" w:rsidP="001E6981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ekranu projekcyjnego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:rsidR="001E6981" w:rsidRPr="00153DBC" w:rsidRDefault="001E6981" w:rsidP="001E6981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260" w:type="dxa"/>
            <w:vAlign w:val="center"/>
          </w:tcPr>
          <w:p w:rsidR="001E6981" w:rsidRPr="00153DBC" w:rsidRDefault="001E6981" w:rsidP="001E6981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850 zł</w:t>
            </w:r>
          </w:p>
        </w:tc>
        <w:tc>
          <w:tcPr>
            <w:tcW w:w="2853" w:type="dxa"/>
          </w:tcPr>
          <w:p w:rsidR="001E6981" w:rsidRDefault="001E6981" w:rsidP="001E6981"/>
        </w:tc>
      </w:tr>
      <w:tr w:rsidR="00A04FD7" w:rsidTr="00B747AE">
        <w:tc>
          <w:tcPr>
            <w:tcW w:w="562" w:type="dxa"/>
            <w:vAlign w:val="center"/>
          </w:tcPr>
          <w:p w:rsidR="00A04FD7" w:rsidRDefault="00A04FD7" w:rsidP="00A04FD7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A04FD7" w:rsidRPr="00313FF2" w:rsidRDefault="00A04FD7" w:rsidP="00A04FD7">
            <w:pPr>
              <w:rPr>
                <w:rFonts w:cstheme="minorHAnsi"/>
              </w:rPr>
            </w:pPr>
            <w:r w:rsidRPr="00F65348">
              <w:rPr>
                <w:rFonts w:cstheme="minorHAnsi"/>
              </w:rPr>
              <w:t xml:space="preserve">Trener </w:t>
            </w:r>
            <w:r w:rsidRPr="00334913"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 xml:space="preserve">(przeprowadzenie szkoleń i </w:t>
            </w:r>
            <w:r w:rsidRPr="00334913">
              <w:rPr>
                <w:rFonts w:cstheme="minorHAnsi"/>
              </w:rPr>
              <w:t>warsztatów w formie</w:t>
            </w:r>
            <w:r>
              <w:rPr>
                <w:rFonts w:cstheme="minorHAnsi"/>
              </w:rPr>
              <w:t xml:space="preserve"> hybrydowej)</w:t>
            </w:r>
          </w:p>
        </w:tc>
        <w:tc>
          <w:tcPr>
            <w:tcW w:w="5570" w:type="dxa"/>
            <w:vAlign w:val="center"/>
          </w:tcPr>
          <w:p w:rsidR="00A04FD7" w:rsidRDefault="00A04FD7" w:rsidP="00A04FD7">
            <w:pPr>
              <w:rPr>
                <w:rFonts w:cstheme="minorHAnsi"/>
              </w:rPr>
            </w:pPr>
            <w:r w:rsidRPr="00F65348">
              <w:rPr>
                <w:rFonts w:cstheme="minorHAnsi"/>
              </w:rPr>
              <w:t>Wymagania:</w:t>
            </w:r>
            <w:r w:rsidRPr="00500F70">
              <w:rPr>
                <w:rFonts w:cstheme="minorHAnsi"/>
                <w:b/>
              </w:rPr>
              <w:br/>
            </w:r>
            <w:r w:rsidRPr="008101F5">
              <w:rPr>
                <w:rFonts w:cstheme="minorHAnsi"/>
              </w:rPr>
              <w:t>1. Wykształcenie wyższe co najmniej magisters</w:t>
            </w:r>
            <w:r>
              <w:rPr>
                <w:rFonts w:cstheme="minorHAnsi"/>
              </w:rPr>
              <w:t>kie, przygotowanie pedagogiczne</w:t>
            </w:r>
          </w:p>
          <w:p w:rsidR="00A04FD7" w:rsidRDefault="00A04FD7" w:rsidP="00A04FD7">
            <w:pPr>
              <w:rPr>
                <w:rFonts w:cstheme="minorHAnsi"/>
              </w:rPr>
            </w:pPr>
            <w:r>
              <w:rPr>
                <w:rFonts w:cstheme="minorHAnsi"/>
              </w:rPr>
              <w:t>2. D</w:t>
            </w:r>
            <w:r w:rsidRPr="00A70E9D">
              <w:rPr>
                <w:rFonts w:cstheme="minorHAnsi"/>
              </w:rPr>
              <w:t>oświadczenie trenerskie/edukatorskie w pracy na rzecz doskonalenia zawodowego nauczycieli</w:t>
            </w:r>
            <w:r>
              <w:rPr>
                <w:rFonts w:cstheme="minorHAnsi"/>
              </w:rPr>
              <w:t>: minimum 200 godzin przeprowadzonych szkoleń w ciągu ostatnich 6 lat</w:t>
            </w:r>
          </w:p>
          <w:p w:rsidR="00A04FD7" w:rsidRDefault="00A04FD7" w:rsidP="00A04F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A70E9D">
              <w:rPr>
                <w:rFonts w:cstheme="minorHAnsi"/>
              </w:rPr>
              <w:t>Doświadczenie w pracy dydaktycznej</w:t>
            </w:r>
            <w:r>
              <w:rPr>
                <w:rFonts w:cstheme="minorHAnsi"/>
              </w:rPr>
              <w:t>: minimum</w:t>
            </w:r>
            <w:r w:rsidRPr="00A70E9D">
              <w:rPr>
                <w:rFonts w:cstheme="minorHAnsi"/>
              </w:rPr>
              <w:t xml:space="preserve"> 2 lata (w szkole lub placówce oświatowej lub na uczelni wyższej)</w:t>
            </w:r>
          </w:p>
          <w:p w:rsidR="00A04FD7" w:rsidRPr="00500F70" w:rsidRDefault="00A04FD7" w:rsidP="00A04FD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4. Znajomość obsługi platform edukacyjnych: minimum 2 szkolenia przeprowadzone w formule zdalnej</w:t>
            </w:r>
          </w:p>
        </w:tc>
        <w:tc>
          <w:tcPr>
            <w:tcW w:w="2260" w:type="dxa"/>
            <w:vAlign w:val="center"/>
          </w:tcPr>
          <w:p w:rsidR="00A04FD7" w:rsidRPr="00313FF2" w:rsidRDefault="00A04FD7" w:rsidP="00A04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rynkowa</w:t>
            </w:r>
          </w:p>
        </w:tc>
        <w:tc>
          <w:tcPr>
            <w:tcW w:w="2853" w:type="dxa"/>
          </w:tcPr>
          <w:p w:rsidR="00A04FD7" w:rsidRDefault="00A04FD7" w:rsidP="00A04FD7"/>
        </w:tc>
      </w:tr>
      <w:tr w:rsidR="00A04FD7" w:rsidTr="00741A54">
        <w:tc>
          <w:tcPr>
            <w:tcW w:w="562" w:type="dxa"/>
            <w:vAlign w:val="center"/>
          </w:tcPr>
          <w:p w:rsidR="00A04FD7" w:rsidRDefault="00A04FD7" w:rsidP="00A04FD7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A04FD7" w:rsidRPr="00C56748" w:rsidRDefault="00A04FD7" w:rsidP="00A04FD7">
            <w:pPr>
              <w:rPr>
                <w:rFonts w:cstheme="minorHAnsi"/>
              </w:rPr>
            </w:pPr>
            <w:r w:rsidRPr="00F65348">
              <w:rPr>
                <w:rFonts w:cstheme="minorHAnsi"/>
              </w:rPr>
              <w:t xml:space="preserve">Konsultant – doradca </w:t>
            </w:r>
            <w:r>
              <w:rPr>
                <w:rFonts w:cstheme="minorHAnsi"/>
              </w:rPr>
              <w:br/>
            </w:r>
            <w:r w:rsidRPr="00334913">
              <w:rPr>
                <w:rFonts w:cstheme="minorHAnsi"/>
              </w:rPr>
              <w:t xml:space="preserve">(przeprowadzenie modułu </w:t>
            </w:r>
            <w:proofErr w:type="spellStart"/>
            <w:r w:rsidRPr="00334913">
              <w:rPr>
                <w:rFonts w:cstheme="minorHAnsi"/>
              </w:rPr>
              <w:t>follow-up</w:t>
            </w:r>
            <w:proofErr w:type="spellEnd"/>
            <w:r w:rsidRPr="00334913">
              <w:rPr>
                <w:rFonts w:cstheme="minorHAnsi"/>
              </w:rPr>
              <w:t xml:space="preserve"> w formie stacjonarnej lub zdalnej)</w:t>
            </w:r>
          </w:p>
        </w:tc>
        <w:tc>
          <w:tcPr>
            <w:tcW w:w="5570" w:type="dxa"/>
            <w:vAlign w:val="center"/>
          </w:tcPr>
          <w:p w:rsidR="00A04FD7" w:rsidRPr="00F0594D" w:rsidRDefault="00A04FD7" w:rsidP="00A04FD7">
            <w:pPr>
              <w:rPr>
                <w:rFonts w:cstheme="minorHAnsi"/>
              </w:rPr>
            </w:pPr>
            <w:r w:rsidRPr="00F65348">
              <w:rPr>
                <w:rFonts w:cstheme="minorHAnsi"/>
              </w:rPr>
              <w:t>Wymagania:</w:t>
            </w:r>
            <w:r>
              <w:rPr>
                <w:rFonts w:cstheme="minorHAnsi"/>
              </w:rPr>
              <w:br/>
            </w:r>
            <w:r w:rsidRPr="00F0594D">
              <w:rPr>
                <w:rFonts w:cstheme="minorHAnsi"/>
              </w:rPr>
              <w:t>1. Wykształcenie wyższe co najmniej magisterskie, przygotowanie pedagogiczne</w:t>
            </w:r>
          </w:p>
          <w:p w:rsidR="00A04FD7" w:rsidRPr="00F0594D" w:rsidRDefault="00A04FD7" w:rsidP="00A04FD7">
            <w:pPr>
              <w:rPr>
                <w:rFonts w:cstheme="minorHAnsi"/>
              </w:rPr>
            </w:pPr>
            <w:r w:rsidRPr="00F0594D">
              <w:rPr>
                <w:rFonts w:cstheme="minorHAnsi"/>
              </w:rPr>
              <w:t xml:space="preserve">2. Doświadczenie trenerskie/edukatorskie w pracy na rzecz doskonalenia zawodowego nauczycieli: minimum 200 godzin przeprowadzonych szkoleń </w:t>
            </w:r>
            <w:r>
              <w:rPr>
                <w:rFonts w:cstheme="minorHAnsi"/>
              </w:rPr>
              <w:t>w ciągu ostatnich 6 lat</w:t>
            </w:r>
          </w:p>
          <w:p w:rsidR="00A04FD7" w:rsidRPr="00F0594D" w:rsidRDefault="00A04FD7" w:rsidP="00A04FD7">
            <w:pPr>
              <w:rPr>
                <w:rFonts w:cstheme="minorHAnsi"/>
              </w:rPr>
            </w:pPr>
            <w:r w:rsidRPr="00F0594D">
              <w:rPr>
                <w:rFonts w:cstheme="minorHAnsi"/>
              </w:rPr>
              <w:t>3. Doświadczenie w pracy dydaktycznej: minimum 2 lata (w szkole lub placówce oświatowej lub na uczelni wyższej)</w:t>
            </w:r>
          </w:p>
          <w:p w:rsidR="00A04FD7" w:rsidRPr="00C56748" w:rsidRDefault="00A04FD7" w:rsidP="00A04FD7">
            <w:pPr>
              <w:rPr>
                <w:rFonts w:cstheme="minorHAnsi"/>
              </w:rPr>
            </w:pPr>
            <w:r w:rsidRPr="00F0594D">
              <w:rPr>
                <w:rFonts w:cstheme="minorHAnsi"/>
              </w:rPr>
              <w:t>4. Znajomość obsługi platform edukacyjnych: minimum 2 szkolenia przeprowadzone w formule zdalnej</w:t>
            </w:r>
          </w:p>
        </w:tc>
        <w:tc>
          <w:tcPr>
            <w:tcW w:w="2260" w:type="dxa"/>
            <w:vAlign w:val="center"/>
          </w:tcPr>
          <w:p w:rsidR="00A04FD7" w:rsidRPr="00C56748" w:rsidRDefault="00A04FD7" w:rsidP="00A04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rynkowa</w:t>
            </w:r>
          </w:p>
        </w:tc>
        <w:tc>
          <w:tcPr>
            <w:tcW w:w="2853" w:type="dxa"/>
          </w:tcPr>
          <w:p w:rsidR="00A04FD7" w:rsidRDefault="00A04FD7" w:rsidP="00A04FD7"/>
        </w:tc>
      </w:tr>
      <w:tr w:rsidR="00A04FD7" w:rsidTr="00D56190">
        <w:tc>
          <w:tcPr>
            <w:tcW w:w="562" w:type="dxa"/>
            <w:vAlign w:val="center"/>
          </w:tcPr>
          <w:p w:rsidR="00A04FD7" w:rsidRDefault="00A04FD7" w:rsidP="00A04FD7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A04FD7" w:rsidRPr="00B038D8" w:rsidRDefault="00A04FD7" w:rsidP="00A04FD7">
            <w:pPr>
              <w:rPr>
                <w:rFonts w:cstheme="minorHAnsi"/>
              </w:rPr>
            </w:pPr>
            <w:r w:rsidRPr="00B038D8">
              <w:rPr>
                <w:rFonts w:cstheme="minorHAnsi"/>
              </w:rPr>
              <w:t xml:space="preserve">Raport z działań upowszechniająco - wdrażających </w:t>
            </w:r>
          </w:p>
        </w:tc>
        <w:tc>
          <w:tcPr>
            <w:tcW w:w="5570" w:type="dxa"/>
            <w:vAlign w:val="center"/>
          </w:tcPr>
          <w:p w:rsidR="00A04FD7" w:rsidRPr="00A1060A" w:rsidRDefault="00A04FD7" w:rsidP="00A04FD7">
            <w:pPr>
              <w:rPr>
                <w:rFonts w:cstheme="minorHAnsi"/>
                <w:b/>
              </w:rPr>
            </w:pPr>
            <w:r w:rsidRPr="00F65348">
              <w:rPr>
                <w:rFonts w:cstheme="minorHAnsi"/>
              </w:rPr>
              <w:t>Wymagania:</w:t>
            </w:r>
            <w:r w:rsidRPr="00A1060A">
              <w:rPr>
                <w:rFonts w:cstheme="minorHAnsi"/>
                <w:b/>
              </w:rPr>
              <w:br/>
            </w:r>
            <w:r w:rsidRPr="00BA6187">
              <w:rPr>
                <w:rFonts w:cstheme="minorHAnsi"/>
              </w:rPr>
              <w:t>Wiedza z zakresu stosowania m</w:t>
            </w:r>
            <w:r>
              <w:rPr>
                <w:rFonts w:cstheme="minorHAnsi"/>
              </w:rPr>
              <w:t>etod i technik prowadzenia badań</w:t>
            </w:r>
            <w:r w:rsidRPr="00BA6187">
              <w:rPr>
                <w:rFonts w:cstheme="minorHAnsi"/>
              </w:rPr>
              <w:t xml:space="preserve"> ilościowych i jakościowych oraz doświadczenie w opracowywaniu analiz lub ekspertyz lub badań</w:t>
            </w:r>
            <w:r>
              <w:rPr>
                <w:rFonts w:cstheme="minorHAnsi"/>
              </w:rPr>
              <w:t xml:space="preserve"> (minimum 2</w:t>
            </w:r>
            <w:r w:rsidRPr="00BA6187">
              <w:rPr>
                <w:rFonts w:cstheme="minorHAnsi"/>
              </w:rPr>
              <w:t xml:space="preserve"> analizy/ekspertyzy/badania w ciągu ostatnich 5 lat</w:t>
            </w:r>
            <w:r>
              <w:rPr>
                <w:rFonts w:cstheme="minorHAnsi"/>
              </w:rPr>
              <w:t xml:space="preserve"> z dziedziny objętej badaniem)</w:t>
            </w:r>
          </w:p>
        </w:tc>
        <w:tc>
          <w:tcPr>
            <w:tcW w:w="2260" w:type="dxa"/>
            <w:vAlign w:val="center"/>
          </w:tcPr>
          <w:p w:rsidR="00A04FD7" w:rsidRPr="00C56748" w:rsidRDefault="00A04FD7" w:rsidP="00A04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rynkowa</w:t>
            </w:r>
          </w:p>
        </w:tc>
        <w:tc>
          <w:tcPr>
            <w:tcW w:w="2853" w:type="dxa"/>
          </w:tcPr>
          <w:p w:rsidR="00A04FD7" w:rsidRDefault="00A04FD7" w:rsidP="00A04FD7"/>
        </w:tc>
      </w:tr>
      <w:tr w:rsidR="00A04FD7" w:rsidTr="000355EA">
        <w:tc>
          <w:tcPr>
            <w:tcW w:w="562" w:type="dxa"/>
            <w:vAlign w:val="center"/>
          </w:tcPr>
          <w:p w:rsidR="00A04FD7" w:rsidRDefault="00A04FD7" w:rsidP="00A04FD7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A04FD7" w:rsidRPr="00F65348" w:rsidRDefault="00A04FD7" w:rsidP="00A04FD7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348">
              <w:rPr>
                <w:rFonts w:asciiTheme="minorHAnsi" w:hAnsiTheme="minorHAnsi" w:cstheme="minorHAnsi"/>
                <w:b w:val="0"/>
                <w:sz w:val="22"/>
                <w:szCs w:val="22"/>
              </w:rPr>
              <w:t>Roll-up</w:t>
            </w:r>
            <w:proofErr w:type="spellEnd"/>
            <w:r w:rsidRPr="00F65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0" w:type="dxa"/>
            <w:vAlign w:val="center"/>
          </w:tcPr>
          <w:p w:rsidR="00A04FD7" w:rsidRPr="00F65348" w:rsidRDefault="00A04FD7" w:rsidP="00A04FD7">
            <w:pPr>
              <w:spacing w:before="105"/>
              <w:rPr>
                <w:rFonts w:cstheme="minorHAnsi"/>
              </w:rPr>
            </w:pPr>
            <w:r w:rsidRPr="00F65348">
              <w:rPr>
                <w:rFonts w:cstheme="minorHAnsi"/>
              </w:rPr>
              <w:t>Wymagania:</w:t>
            </w:r>
            <w:r w:rsidRPr="00F65348">
              <w:rPr>
                <w:rFonts w:cstheme="minorHAnsi"/>
              </w:rPr>
              <w:br/>
              <w:t>1. Wymiary w cm: 120x200</w:t>
            </w:r>
            <w:r w:rsidRPr="00F65348">
              <w:rPr>
                <w:rFonts w:cstheme="minorHAnsi"/>
              </w:rPr>
              <w:br/>
              <w:t xml:space="preserve">2. Konstrukcja aluminiowa </w:t>
            </w:r>
            <w:r w:rsidRPr="00F65348">
              <w:rPr>
                <w:rFonts w:cstheme="minorHAnsi"/>
              </w:rPr>
              <w:br/>
              <w:t>3. Regulowane nóżki w przedniej części kasety</w:t>
            </w:r>
            <w:r w:rsidRPr="00F65348">
              <w:rPr>
                <w:rFonts w:cstheme="minorHAnsi"/>
              </w:rPr>
              <w:br/>
              <w:t>4. Akcesoria: torba transportowa w zestawie</w:t>
            </w:r>
          </w:p>
        </w:tc>
        <w:tc>
          <w:tcPr>
            <w:tcW w:w="2260" w:type="dxa"/>
            <w:vAlign w:val="center"/>
          </w:tcPr>
          <w:p w:rsidR="00A04FD7" w:rsidRPr="00C56748" w:rsidRDefault="00A04FD7" w:rsidP="00A04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rynkowa</w:t>
            </w:r>
          </w:p>
        </w:tc>
        <w:tc>
          <w:tcPr>
            <w:tcW w:w="2853" w:type="dxa"/>
          </w:tcPr>
          <w:p w:rsidR="00A04FD7" w:rsidRDefault="00A04FD7" w:rsidP="00A04FD7"/>
        </w:tc>
      </w:tr>
      <w:tr w:rsidR="00A04FD7" w:rsidTr="000B75FD">
        <w:tc>
          <w:tcPr>
            <w:tcW w:w="562" w:type="dxa"/>
            <w:vAlign w:val="center"/>
          </w:tcPr>
          <w:p w:rsidR="00A04FD7" w:rsidRDefault="00A04FD7" w:rsidP="00A04FD7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4FD7" w:rsidRPr="00F65348" w:rsidRDefault="00A04FD7" w:rsidP="00A04FD7">
            <w:pPr>
              <w:rPr>
                <w:rFonts w:eastAsia="Times New Roman" w:cstheme="minorHAnsi"/>
                <w:lang w:eastAsia="pl-PL"/>
              </w:rPr>
            </w:pPr>
            <w:r w:rsidRPr="00F65348">
              <w:rPr>
                <w:rFonts w:eastAsia="Times New Roman" w:cstheme="minorHAnsi"/>
                <w:lang w:eastAsia="pl-PL"/>
              </w:rPr>
              <w:t xml:space="preserve">Ścianka Pop – </w:t>
            </w:r>
            <w:proofErr w:type="spellStart"/>
            <w:r w:rsidRPr="00F65348">
              <w:rPr>
                <w:rFonts w:eastAsia="Times New Roman" w:cstheme="minorHAnsi"/>
                <w:lang w:eastAsia="pl-PL"/>
              </w:rPr>
              <w:t>up</w:t>
            </w:r>
            <w:proofErr w:type="spellEnd"/>
            <w:r w:rsidRPr="00F6534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:rsidR="00A04FD7" w:rsidRPr="00F65348" w:rsidRDefault="00A04FD7" w:rsidP="00A04FD7">
            <w:pPr>
              <w:spacing w:before="105" w:line="240" w:lineRule="atLeast"/>
              <w:rPr>
                <w:rFonts w:cstheme="minorHAnsi"/>
              </w:rPr>
            </w:pPr>
            <w:r w:rsidRPr="00F65348">
              <w:rPr>
                <w:rFonts w:cstheme="minorHAnsi"/>
              </w:rPr>
              <w:t>Wymagania:</w:t>
            </w:r>
            <w:r w:rsidRPr="00F65348">
              <w:rPr>
                <w:rFonts w:cstheme="minorHAnsi"/>
              </w:rPr>
              <w:br/>
              <w:t xml:space="preserve">1. Wymiar ścianki w mm: 2300 (wys.) x 3950 (szer.) </w:t>
            </w:r>
            <w:r w:rsidRPr="00F65348">
              <w:rPr>
                <w:rFonts w:cstheme="minorHAnsi"/>
              </w:rPr>
              <w:br/>
              <w:t xml:space="preserve">2. Konstrukcja aluminiowa </w:t>
            </w:r>
            <w:r w:rsidRPr="00F65348">
              <w:rPr>
                <w:rFonts w:cstheme="minorHAnsi"/>
              </w:rPr>
              <w:br/>
              <w:t>3. Montaż bez użycia narzędzi</w:t>
            </w:r>
            <w:r w:rsidRPr="00F65348">
              <w:rPr>
                <w:rFonts w:cstheme="minorHAnsi"/>
              </w:rPr>
              <w:br/>
              <w:t>4. Listwy metalowe</w:t>
            </w:r>
          </w:p>
        </w:tc>
        <w:tc>
          <w:tcPr>
            <w:tcW w:w="2260" w:type="dxa"/>
            <w:vAlign w:val="center"/>
          </w:tcPr>
          <w:p w:rsidR="00A04FD7" w:rsidRPr="00C56748" w:rsidRDefault="00A04FD7" w:rsidP="00A04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rynkowa</w:t>
            </w:r>
          </w:p>
        </w:tc>
        <w:tc>
          <w:tcPr>
            <w:tcW w:w="2853" w:type="dxa"/>
          </w:tcPr>
          <w:p w:rsidR="00A04FD7" w:rsidRDefault="00A04FD7" w:rsidP="00A04FD7"/>
        </w:tc>
      </w:tr>
      <w:tr w:rsidR="00A04FD7" w:rsidTr="00886AD3">
        <w:tc>
          <w:tcPr>
            <w:tcW w:w="562" w:type="dxa"/>
            <w:vAlign w:val="center"/>
          </w:tcPr>
          <w:p w:rsidR="00A04FD7" w:rsidRDefault="00A04FD7" w:rsidP="00A04FD7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7" w:rsidRPr="00B038D8" w:rsidRDefault="00A04FD7" w:rsidP="00A04FD7">
            <w:pPr>
              <w:rPr>
                <w:rFonts w:eastAsia="Times New Roman" w:cstheme="minorHAnsi"/>
                <w:lang w:eastAsia="pl-PL"/>
              </w:rPr>
            </w:pPr>
            <w:r w:rsidRPr="00B038D8">
              <w:rPr>
                <w:rFonts w:eastAsia="Times New Roman" w:cstheme="minorHAnsi"/>
                <w:lang w:eastAsia="pl-PL"/>
              </w:rPr>
              <w:t xml:space="preserve">Sale szkoleniowe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7" w:rsidRPr="00C56748" w:rsidRDefault="00A04FD7" w:rsidP="00A04FD7">
            <w:pPr>
              <w:spacing w:before="105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  <w:r>
              <w:rPr>
                <w:rFonts w:cstheme="minorHAnsi"/>
              </w:rPr>
              <w:br/>
              <w:t xml:space="preserve">Średnia sala szkoleniowa </w:t>
            </w:r>
            <w:r>
              <w:rPr>
                <w:rFonts w:cstheme="minorHAnsi"/>
              </w:rPr>
              <w:br/>
              <w:t>W</w:t>
            </w:r>
            <w:r w:rsidRPr="00AA0CBE">
              <w:rPr>
                <w:rFonts w:cstheme="minorHAnsi"/>
              </w:rPr>
              <w:t>yposażenie</w:t>
            </w:r>
            <w:r>
              <w:rPr>
                <w:rFonts w:cstheme="minorHAnsi"/>
              </w:rPr>
              <w:t xml:space="preserve">: rzutnik, ekran, laptop lub tablica typu flipchart, system klimatyzacji, stoły i krzesła.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7" w:rsidRPr="00C56748" w:rsidRDefault="00A04FD7" w:rsidP="00A04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rynkowa</w:t>
            </w:r>
          </w:p>
        </w:tc>
        <w:tc>
          <w:tcPr>
            <w:tcW w:w="2853" w:type="dxa"/>
          </w:tcPr>
          <w:p w:rsidR="00A04FD7" w:rsidRDefault="00A04FD7" w:rsidP="00A04FD7"/>
        </w:tc>
      </w:tr>
    </w:tbl>
    <w:p w:rsidR="001E6981" w:rsidRPr="001E6981" w:rsidRDefault="001E6981" w:rsidP="001E6981"/>
    <w:sectPr w:rsidR="001E6981" w:rsidRPr="001E6981" w:rsidSect="001E698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CE" w:rsidRDefault="00442DCE" w:rsidP="001E6981">
      <w:r>
        <w:separator/>
      </w:r>
    </w:p>
  </w:endnote>
  <w:endnote w:type="continuationSeparator" w:id="0">
    <w:p w:rsidR="00442DCE" w:rsidRDefault="00442DCE" w:rsidP="001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CE" w:rsidRDefault="00442DCE" w:rsidP="001E6981">
      <w:r>
        <w:separator/>
      </w:r>
    </w:p>
  </w:footnote>
  <w:footnote w:type="continuationSeparator" w:id="0">
    <w:p w:rsidR="00442DCE" w:rsidRDefault="00442DCE" w:rsidP="001E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81" w:rsidRDefault="001E6981" w:rsidP="001E6981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 wp14:anchorId="5985162F" wp14:editId="61B0FE09">
          <wp:extent cx="5781675" cy="581025"/>
          <wp:effectExtent l="0" t="0" r="0" b="0"/>
          <wp:docPr id="630984067" name="Obraz 630984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0C7"/>
    <w:multiLevelType w:val="hybridMultilevel"/>
    <w:tmpl w:val="92E280B8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CD2"/>
    <w:multiLevelType w:val="hybridMultilevel"/>
    <w:tmpl w:val="79460062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E1D"/>
    <w:multiLevelType w:val="hybridMultilevel"/>
    <w:tmpl w:val="C7E8BE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3" w15:restartNumberingAfterBreak="0">
    <w:nsid w:val="1747404E"/>
    <w:multiLevelType w:val="hybridMultilevel"/>
    <w:tmpl w:val="69601C52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2FF6"/>
    <w:multiLevelType w:val="hybridMultilevel"/>
    <w:tmpl w:val="1818C3E8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5" w15:restartNumberingAfterBreak="0">
    <w:nsid w:val="21EF75CB"/>
    <w:multiLevelType w:val="hybridMultilevel"/>
    <w:tmpl w:val="53FC6FC4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6" w15:restartNumberingAfterBreak="0">
    <w:nsid w:val="28B01F6A"/>
    <w:multiLevelType w:val="multilevel"/>
    <w:tmpl w:val="B61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A67D28"/>
    <w:multiLevelType w:val="hybridMultilevel"/>
    <w:tmpl w:val="84F2A59E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321"/>
    <w:multiLevelType w:val="hybridMultilevel"/>
    <w:tmpl w:val="89224A7E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D89"/>
    <w:multiLevelType w:val="hybridMultilevel"/>
    <w:tmpl w:val="A80AF1B2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0" w15:restartNumberingAfterBreak="0">
    <w:nsid w:val="306F48B2"/>
    <w:multiLevelType w:val="hybridMultilevel"/>
    <w:tmpl w:val="2F6A4E4E"/>
    <w:lvl w:ilvl="0" w:tplc="86A4B4EC"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FE8C5D4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58EF860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47EC7ACC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55F068F6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38988498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55D430D2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76D0835C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01EC2656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1" w15:restartNumberingAfterBreak="0">
    <w:nsid w:val="332F5CAD"/>
    <w:multiLevelType w:val="hybridMultilevel"/>
    <w:tmpl w:val="E07A5CE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2" w15:restartNumberingAfterBreak="0">
    <w:nsid w:val="380B3C0C"/>
    <w:multiLevelType w:val="hybridMultilevel"/>
    <w:tmpl w:val="9E128E12"/>
    <w:lvl w:ilvl="0" w:tplc="32A2E83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C9B4854"/>
    <w:multiLevelType w:val="hybridMultilevel"/>
    <w:tmpl w:val="E20C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F3AD8"/>
    <w:multiLevelType w:val="hybridMultilevel"/>
    <w:tmpl w:val="C40CBA38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5" w15:restartNumberingAfterBreak="0">
    <w:nsid w:val="4BA247D7"/>
    <w:multiLevelType w:val="hybridMultilevel"/>
    <w:tmpl w:val="9CA846B0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1A76"/>
    <w:multiLevelType w:val="hybridMultilevel"/>
    <w:tmpl w:val="BFA0F5B6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4280"/>
    <w:multiLevelType w:val="hybridMultilevel"/>
    <w:tmpl w:val="1950599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8" w15:restartNumberingAfterBreak="0">
    <w:nsid w:val="555A2B2F"/>
    <w:multiLevelType w:val="hybridMultilevel"/>
    <w:tmpl w:val="AF12D0A2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A2267"/>
    <w:multiLevelType w:val="hybridMultilevel"/>
    <w:tmpl w:val="FE2EB864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952D4"/>
    <w:multiLevelType w:val="hybridMultilevel"/>
    <w:tmpl w:val="73FAC820"/>
    <w:lvl w:ilvl="0" w:tplc="11B81F7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916FD"/>
    <w:multiLevelType w:val="hybridMultilevel"/>
    <w:tmpl w:val="E7C0516C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2" w15:restartNumberingAfterBreak="0">
    <w:nsid w:val="66AF1525"/>
    <w:multiLevelType w:val="hybridMultilevel"/>
    <w:tmpl w:val="EE5037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3" w15:restartNumberingAfterBreak="0">
    <w:nsid w:val="6D0075D4"/>
    <w:multiLevelType w:val="hybridMultilevel"/>
    <w:tmpl w:val="1BE2351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4" w15:restartNumberingAfterBreak="0">
    <w:nsid w:val="72434CC4"/>
    <w:multiLevelType w:val="hybridMultilevel"/>
    <w:tmpl w:val="887C7C76"/>
    <w:lvl w:ilvl="0" w:tplc="1CC288BA">
      <w:numFmt w:val="bullet"/>
      <w:lvlText w:val="-"/>
      <w:lvlJc w:val="left"/>
      <w:pPr>
        <w:ind w:left="103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ED580F96">
      <w:numFmt w:val="bullet"/>
      <w:lvlText w:val="•"/>
      <w:lvlJc w:val="left"/>
      <w:pPr>
        <w:ind w:left="375" w:hanging="117"/>
      </w:pPr>
      <w:rPr>
        <w:rFonts w:hint="default"/>
      </w:rPr>
    </w:lvl>
    <w:lvl w:ilvl="2" w:tplc="359C076E">
      <w:numFmt w:val="bullet"/>
      <w:lvlText w:val="•"/>
      <w:lvlJc w:val="left"/>
      <w:pPr>
        <w:ind w:left="650" w:hanging="117"/>
      </w:pPr>
      <w:rPr>
        <w:rFonts w:hint="default"/>
      </w:rPr>
    </w:lvl>
    <w:lvl w:ilvl="3" w:tplc="5B68265A">
      <w:numFmt w:val="bullet"/>
      <w:lvlText w:val="•"/>
      <w:lvlJc w:val="left"/>
      <w:pPr>
        <w:ind w:left="925" w:hanging="117"/>
      </w:pPr>
      <w:rPr>
        <w:rFonts w:hint="default"/>
      </w:rPr>
    </w:lvl>
    <w:lvl w:ilvl="4" w:tplc="C5C8251E">
      <w:numFmt w:val="bullet"/>
      <w:lvlText w:val="•"/>
      <w:lvlJc w:val="left"/>
      <w:pPr>
        <w:ind w:left="1200" w:hanging="117"/>
      </w:pPr>
      <w:rPr>
        <w:rFonts w:hint="default"/>
      </w:rPr>
    </w:lvl>
    <w:lvl w:ilvl="5" w:tplc="3C8EA33A">
      <w:numFmt w:val="bullet"/>
      <w:lvlText w:val="•"/>
      <w:lvlJc w:val="left"/>
      <w:pPr>
        <w:ind w:left="1475" w:hanging="117"/>
      </w:pPr>
      <w:rPr>
        <w:rFonts w:hint="default"/>
      </w:rPr>
    </w:lvl>
    <w:lvl w:ilvl="6" w:tplc="6338F558">
      <w:numFmt w:val="bullet"/>
      <w:lvlText w:val="•"/>
      <w:lvlJc w:val="left"/>
      <w:pPr>
        <w:ind w:left="1750" w:hanging="117"/>
      </w:pPr>
      <w:rPr>
        <w:rFonts w:hint="default"/>
      </w:rPr>
    </w:lvl>
    <w:lvl w:ilvl="7" w:tplc="B53C4F38">
      <w:numFmt w:val="bullet"/>
      <w:lvlText w:val="•"/>
      <w:lvlJc w:val="left"/>
      <w:pPr>
        <w:ind w:left="2025" w:hanging="117"/>
      </w:pPr>
      <w:rPr>
        <w:rFonts w:hint="default"/>
      </w:rPr>
    </w:lvl>
    <w:lvl w:ilvl="8" w:tplc="86D65CA2">
      <w:numFmt w:val="bullet"/>
      <w:lvlText w:val="•"/>
      <w:lvlJc w:val="left"/>
      <w:pPr>
        <w:ind w:left="2300" w:hanging="117"/>
      </w:pPr>
      <w:rPr>
        <w:rFonts w:hint="default"/>
      </w:rPr>
    </w:lvl>
  </w:abstractNum>
  <w:abstractNum w:abstractNumId="25" w15:restartNumberingAfterBreak="0">
    <w:nsid w:val="73CC34DA"/>
    <w:multiLevelType w:val="hybridMultilevel"/>
    <w:tmpl w:val="6C2C5690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6" w15:restartNumberingAfterBreak="0">
    <w:nsid w:val="77F83028"/>
    <w:multiLevelType w:val="hybridMultilevel"/>
    <w:tmpl w:val="6FA6BB5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6"/>
  </w:num>
  <w:num w:numId="8">
    <w:abstractNumId w:val="24"/>
  </w:num>
  <w:num w:numId="9">
    <w:abstractNumId w:val="4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8"/>
  </w:num>
  <w:num w:numId="15">
    <w:abstractNumId w:val="5"/>
  </w:num>
  <w:num w:numId="16">
    <w:abstractNumId w:val="22"/>
  </w:num>
  <w:num w:numId="17">
    <w:abstractNumId w:val="23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6"/>
  </w:num>
  <w:num w:numId="23">
    <w:abstractNumId w:val="16"/>
  </w:num>
  <w:num w:numId="24">
    <w:abstractNumId w:val="3"/>
  </w:num>
  <w:num w:numId="25">
    <w:abstractNumId w:val="19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F0"/>
    <w:rsid w:val="00190292"/>
    <w:rsid w:val="001E6981"/>
    <w:rsid w:val="00433089"/>
    <w:rsid w:val="00442DCE"/>
    <w:rsid w:val="00471793"/>
    <w:rsid w:val="005A7A32"/>
    <w:rsid w:val="007D7807"/>
    <w:rsid w:val="00867F1A"/>
    <w:rsid w:val="009447F9"/>
    <w:rsid w:val="00A04FD7"/>
    <w:rsid w:val="00A17365"/>
    <w:rsid w:val="00A90695"/>
    <w:rsid w:val="00C07978"/>
    <w:rsid w:val="00C33F27"/>
    <w:rsid w:val="00C409F0"/>
    <w:rsid w:val="00C70EBB"/>
    <w:rsid w:val="00C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552ABE-47D4-4166-8342-60DF90C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9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1E6981"/>
    <w:pPr>
      <w:spacing w:before="20"/>
      <w:ind w:left="40"/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A04FD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981"/>
  </w:style>
  <w:style w:type="paragraph" w:styleId="Stopka">
    <w:name w:val="footer"/>
    <w:basedOn w:val="Normalny"/>
    <w:link w:val="StopkaZnak"/>
    <w:uiPriority w:val="99"/>
    <w:unhideWhenUsed/>
    <w:rsid w:val="001E6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981"/>
  </w:style>
  <w:style w:type="table" w:styleId="Tabela-Siatka">
    <w:name w:val="Table Grid"/>
    <w:basedOn w:val="Standardowy"/>
    <w:uiPriority w:val="39"/>
    <w:rsid w:val="001E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E6981"/>
    <w:pPr>
      <w:ind w:left="393"/>
    </w:pPr>
  </w:style>
  <w:style w:type="paragraph" w:styleId="Akapitzlist">
    <w:name w:val="List Paragraph"/>
    <w:basedOn w:val="Normalny"/>
    <w:uiPriority w:val="34"/>
    <w:qFormat/>
    <w:rsid w:val="001E69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6981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089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04F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918D-CE60-4314-84BD-9D504B85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Jakubowska Magdalena</cp:lastModifiedBy>
  <cp:revision>2</cp:revision>
  <dcterms:created xsi:type="dcterms:W3CDTF">2023-07-28T08:09:00Z</dcterms:created>
  <dcterms:modified xsi:type="dcterms:W3CDTF">2023-07-28T08:09:00Z</dcterms:modified>
</cp:coreProperties>
</file>