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5754638" cy="892078"/>
            <wp:effectExtent b="0" l="0" r="0" t="0"/>
            <wp:docPr descr="ORE_LOGO_edu" id="220" name="image1.jpg"/>
            <a:graphic>
              <a:graphicData uri="http://schemas.openxmlformats.org/drawingml/2006/picture">
                <pic:pic>
                  <pic:nvPicPr>
                    <pic:cNvPr descr="ORE_LOGO_edu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4638" cy="8920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ZAPYTANIE OFERTOWE</w:t>
      </w:r>
    </w:p>
    <w:p w:rsidR="00000000" w:rsidDel="00000000" w:rsidP="00000000" w:rsidRDefault="00000000" w:rsidRPr="00000000" w14:paraId="00000003">
      <w:pPr>
        <w:spacing w:after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 Zamawiający:</w:t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Ośrodek Rozwoju Edukacji w Warszawie</w:t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Aleje Ujazdowskie 28</w:t>
      </w:r>
    </w:p>
    <w:p w:rsidR="00000000" w:rsidDel="00000000" w:rsidP="00000000" w:rsidRDefault="00000000" w:rsidRPr="00000000" w14:paraId="00000006">
      <w:pPr>
        <w:spacing w:after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00-478 Warszawa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Zapraszamy do składania ofert na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opracowanie scenariusza i przeprowadzenie piętnastu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5-godzinnych zajęć warsztatowych online (łącznie 75 godzin) podczas szkoleń e-learningowych dla kadry nadzoru pedagogicznego w zakresie wspomagania szkół w rozwoju kompetencji kluczowych uczniów.</w:t>
      </w:r>
    </w:p>
    <w:p w:rsidR="00000000" w:rsidDel="00000000" w:rsidP="00000000" w:rsidRDefault="00000000" w:rsidRPr="00000000" w14:paraId="00000009">
      <w:pPr>
        <w:spacing w:after="120" w:before="12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 Osoba nadzorująca realizację zamówienia ze strony Zamawiającego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Bronisław Michał Boryca, e-mail: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bronislaw.boryca@ore.edu.pl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 tel. 22 3453779</w:t>
      </w:r>
    </w:p>
    <w:p w:rsidR="00000000" w:rsidDel="00000000" w:rsidP="00000000" w:rsidRDefault="00000000" w:rsidRPr="00000000" w14:paraId="0000000B">
      <w:pPr>
        <w:spacing w:after="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 Szczegółowy opis przedmiotu Zamówienia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Przedmiot zamówienia polega na opracowaniu scenariusza i przeprowadzeniu piętnastu 5-godzinnych zajęć warsztatowych online (łącznie 75 godzin) podczas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szkoleń e-learningowych dla kadry nadzoru pedagogicznego w zakresie wspomagania szkół w rozwoju kompetencji kluczowych uczniów.</w:t>
      </w:r>
    </w:p>
    <w:p w:rsidR="00000000" w:rsidDel="00000000" w:rsidP="00000000" w:rsidRDefault="00000000" w:rsidRPr="00000000" w14:paraId="0000000D">
      <w:pPr>
        <w:spacing w:after="12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Jedna godzina zajęć warsztatowych wynosi 45 minut zegarowych.</w:t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Program zajęć warsztatowych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8358"/>
        <w:tblGridChange w:id="0">
          <w:tblGrid>
            <w:gridCol w:w="704"/>
            <w:gridCol w:w="8358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Czas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Zagadnienia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h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Rule="auto"/>
              <w:ind w:left="322" w:hanging="32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Wprowadzenie do obszaru obserwacji – Kompetencje kluczowe w praktyce szkolnej: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01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zdefiniowanie wiedzy, umiejętności i postaw składających się na wiązki kompetencji,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01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modele rozwijania w szkole kompetencji w systematyczny sposób,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01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metody i techniki rozwijające kompetencje kluczowe u uczniów.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0,5 h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Rule="auto"/>
              <w:ind w:left="181" w:hanging="18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 Badanie kształcenia kompetencji kluczowych w procesie uczenia się. Obserwacja jako metoda badawcza: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01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szanse i zagrożenia,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01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warunki obserwacji,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01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kompetencje obserwatorki/obserwatora.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0,5 h 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 Arkusz obserwacji kompetencji kluczowych: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01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budowa arkusza,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01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dyspozycje do obserwacji 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h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 Praktyka: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pacing w:after="0" w:before="0" w:line="276" w:lineRule="auto"/>
              <w:ind w:left="9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obserwacja lekcji rozwijającej u uczniów kompetencje kluczowe w procesie uczenia się ,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pacing w:after="0" w:before="0" w:line="276" w:lineRule="auto"/>
              <w:ind w:left="9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omówienie obserwacji,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pacing w:after="0" w:before="0" w:line="276" w:lineRule="auto"/>
              <w:ind w:left="9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przygotowanie wniosków z obserwacji,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pacing w:after="0" w:before="0" w:line="276" w:lineRule="auto"/>
              <w:ind w:left="9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podsumowanie obserwacji jako metody badawczej,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pacing w:after="0" w:before="0" w:line="276" w:lineRule="auto"/>
              <w:ind w:left="901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autodiagnoza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„Moje umiejętności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w zakresie obserwacji lekcji pod kątem rozwijania u uczniów kompetencji kluczowych w procesie uczenia się”.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Szkolenia realizowane będą na platformie Zoom w następujących terminach:</w:t>
      </w:r>
    </w:p>
    <w:tbl>
      <w:tblPr>
        <w:tblStyle w:val="Table2"/>
        <w:tblW w:w="7645.0" w:type="dxa"/>
        <w:jc w:val="left"/>
        <w:tblInd w:w="0.0" w:type="dxa"/>
        <w:tblLayout w:type="fixed"/>
        <w:tblLook w:val="0400"/>
      </w:tblPr>
      <w:tblGrid>
        <w:gridCol w:w="700"/>
        <w:gridCol w:w="6945"/>
        <w:tblGridChange w:id="0">
          <w:tblGrid>
            <w:gridCol w:w="700"/>
            <w:gridCol w:w="694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rtl w:val="0"/>
              </w:rPr>
              <w:t xml:space="preserve">Termin szkolenia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9, 10, 11 marca 2022 r. w godzinach od 9.00 do 14.00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6, 7, 8 kwietnia 2022 r. w godzinach od 9.00 do 14.00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20, 21, 22 kwietnia 2022 r. w godzinach od 9.00 do 14.00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25, 26, 27 maja 2022 r. w godzinach od 9.00 do 14.00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7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7, 8, 9 czerwca 2022 r. w godzinach od 9.00 do 14.00</w:t>
            </w:r>
          </w:p>
        </w:tc>
      </w:tr>
    </w:tbl>
    <w:p w:rsidR="00000000" w:rsidDel="00000000" w:rsidP="00000000" w:rsidRDefault="00000000" w:rsidRPr="00000000" w14:paraId="00000033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realizacji zadania Zamawiający planuje zatrudnić jedną osobę.</w:t>
      </w:r>
    </w:p>
    <w:p w:rsidR="00000000" w:rsidDel="00000000" w:rsidP="00000000" w:rsidRDefault="00000000" w:rsidRPr="00000000" w14:paraId="00000034">
      <w:pPr>
        <w:spacing w:after="120" w:befor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IV. Warunki udziału w postępowaniu oraz wyboru Wykonawcy</w:t>
      </w:r>
    </w:p>
    <w:p w:rsidR="00000000" w:rsidDel="00000000" w:rsidP="00000000" w:rsidRDefault="00000000" w:rsidRPr="00000000" w14:paraId="00000035">
      <w:pPr>
        <w:spacing w:after="0" w:line="256" w:lineRule="auto"/>
        <w:jc w:val="both"/>
        <w:rPr>
          <w:rFonts w:ascii="Arial" w:cs="Arial" w:eastAsia="Arial" w:hAnsi="Arial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 udzielenie Zamówienia mogą ubiegać się Wykonawcy, którzy spełniają warunki, dotyczące: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pacing w:after="0" w:line="256" w:lineRule="auto"/>
        <w:ind w:left="78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posiadania zdolności do występowania w obrocie gospodarczym;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pacing w:after="0" w:line="256" w:lineRule="auto"/>
        <w:ind w:left="78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posiadania uprawnień do prowadzenia określonej działalności gospodarczej lub zawodowej, o ile wynika to z odrębnych przepisów;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after="0" w:line="256" w:lineRule="auto"/>
        <w:ind w:left="78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sytuacji ekonomicznej lub finansowej;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pacing w:after="0" w:line="256" w:lineRule="auto"/>
        <w:ind w:left="78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zdolności technicznej lub zawodowej – O udzielenie Zamówienia mogą ubiegać się Wykonawcy, którzy w okresie ostatnich pięciu lat realizowali zadania zewnętrznego nadzoru pedagogicznego lub trenerzy, którzy w okresie ostatnich pięciu lat prowadzili szkolenia dla wizytatorów.</w:t>
      </w:r>
    </w:p>
    <w:p w:rsidR="00000000" w:rsidDel="00000000" w:rsidP="00000000" w:rsidRDefault="00000000" w:rsidRPr="00000000" w14:paraId="0000003A">
      <w:pPr>
        <w:spacing w:after="0" w:line="25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Potwierdzeniem spełnienia wymagania będzie złożenie stosownego oświadczenia zawartego w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Formularzu ofertowym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(Załącznik nr 1). Zamawiający zastrzega możliwość zażądania dokumentów potwierdzających spełnienie ww. wymagania.</w:t>
      </w:r>
    </w:p>
    <w:p w:rsidR="00000000" w:rsidDel="00000000" w:rsidP="00000000" w:rsidRDefault="00000000" w:rsidRPr="00000000" w14:paraId="0000003B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V. Wymagania dotyczące oferty</w:t>
      </w:r>
    </w:p>
    <w:p w:rsidR="00000000" w:rsidDel="00000000" w:rsidP="00000000" w:rsidRDefault="00000000" w:rsidRPr="00000000" w14:paraId="0000003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Oferty należy składać na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Formularzu ofertowym </w:t>
      </w:r>
      <w:r w:rsidDel="00000000" w:rsidR="00000000" w:rsidRPr="00000000">
        <w:rPr>
          <w:rFonts w:ascii="Arial" w:cs="Arial" w:eastAsia="Arial" w:hAnsi="Arial"/>
          <w:rtl w:val="0"/>
        </w:rPr>
        <w:t xml:space="preserve">stanowiącym załącznik nr 1. </w:t>
      </w:r>
    </w:p>
    <w:p w:rsidR="00000000" w:rsidDel="00000000" w:rsidP="00000000" w:rsidRDefault="00000000" w:rsidRPr="00000000" w14:paraId="0000003D">
      <w:pPr>
        <w:spacing w:after="120" w:lineRule="auto"/>
        <w:ind w:left="284" w:hanging="284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Oferty, w formie skanu podpisanego przez Wykonawcę (lub osobę uprawnioną do reprezentowania Wykonawcy), należy przesłać na adres e-mail: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grazyna.wojszczyk@ore.edu.pl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0" w:lineRule="auto"/>
        <w:ind w:left="28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terminie do dnia 25 lutego 2022 r. do godziny 12.00.</w:t>
      </w:r>
    </w:p>
    <w:p w:rsidR="00000000" w:rsidDel="00000000" w:rsidP="00000000" w:rsidRDefault="00000000" w:rsidRPr="00000000" w14:paraId="0000003F">
      <w:pPr>
        <w:spacing w:after="120" w:before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VI. Kryterium oceny ofert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Przy wyborze oferty najkorzystniejszej Zamawiający będzie stosował następujące kryteria:</w:t>
      </w:r>
    </w:p>
    <w:p w:rsidR="00000000" w:rsidDel="00000000" w:rsidP="00000000" w:rsidRDefault="00000000" w:rsidRPr="00000000" w14:paraId="00000041">
      <w:pPr>
        <w:spacing w:after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Cena brutto – 100%</w:t>
      </w:r>
    </w:p>
    <w:p w:rsidR="00000000" w:rsidDel="00000000" w:rsidP="00000000" w:rsidRDefault="00000000" w:rsidRPr="00000000" w14:paraId="00000042">
      <w:pPr>
        <w:spacing w:after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Punkty w ramach kryterium będą obliczane według wzoru:</w:t>
      </w:r>
    </w:p>
    <w:p w:rsidR="00000000" w:rsidDel="00000000" w:rsidP="00000000" w:rsidRDefault="00000000" w:rsidRPr="00000000" w14:paraId="00000043">
      <w:pPr>
        <w:jc w:val="left"/>
        <w:rPr>
          <w:rFonts w:ascii="Cambria Math" w:cs="Cambria Math" w:eastAsia="Cambria Math" w:hAnsi="Cambria Math"/>
          <w:color w:val="000000"/>
          <w:sz w:val="32"/>
          <w:szCs w:val="32"/>
        </w:rPr>
      </w:pPr>
      <m:oMath>
        <m:r>
          <w:rPr>
            <w:rFonts w:ascii="Cambria Math" w:cs="Cambria Math" w:eastAsia="Cambria Math" w:hAnsi="Cambria Math"/>
            <w:color w:val="000000"/>
            <w:sz w:val="32"/>
            <w:szCs w:val="32"/>
          </w:rPr>
          <m:t xml:space="preserve">c=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32"/>
                    <w:szCs w:val="32"/>
                  </w:rPr>
                  <m:t xml:space="preserve">c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32"/>
                    <w:szCs w:val="32"/>
                  </w:rPr>
                  <m:t xml:space="preserve">n</m:t>
                </m:r>
              </m:sub>
            </m:sSub>
          </m:num>
          <m:den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32"/>
                    <w:szCs w:val="32"/>
                  </w:rPr>
                  <m:t xml:space="preserve">c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32"/>
                    <w:szCs w:val="32"/>
                  </w:rPr>
                  <m:t xml:space="preserve">b</m:t>
                </m:r>
              </m:sub>
            </m:sSub>
          </m:den>
        </m:f>
        <m:r>
          <w:rPr>
            <w:rFonts w:ascii="Cambria Math" w:cs="Cambria Math" w:eastAsia="Cambria Math" w:hAnsi="Cambria Math"/>
            <w:color w:val="000000"/>
            <w:sz w:val="32"/>
            <w:szCs w:val="32"/>
          </w:rPr>
          <m:t xml:space="preserve">⋅100 %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 – liczba punktów w kryterium cena brutto</w:t>
      </w:r>
    </w:p>
    <w:p w:rsidR="00000000" w:rsidDel="00000000" w:rsidP="00000000" w:rsidRDefault="00000000" w:rsidRPr="00000000" w14:paraId="00000045">
      <w:pPr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Cn – najniższa cena brutto</w:t>
      </w:r>
    </w:p>
    <w:p w:rsidR="00000000" w:rsidDel="00000000" w:rsidP="00000000" w:rsidRDefault="00000000" w:rsidRPr="00000000" w14:paraId="00000046">
      <w:pPr>
        <w:spacing w:after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Cb – cena brutto w badanej ofercie</w:t>
      </w:r>
    </w:p>
    <w:p w:rsidR="00000000" w:rsidDel="00000000" w:rsidP="00000000" w:rsidRDefault="00000000" w:rsidRPr="00000000" w14:paraId="00000047">
      <w:pPr>
        <w:spacing w:after="120" w:before="12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VII. Obowiązek informacyjny</w:t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Zgodnie z art. 13 ust. 1 i 2 rozporządzenia Parlamentu Europejskiego i Rady (UE) 2016/679 z dnia 27 kwietnia 2016 r. (Dz. Urz. UE L 119 z 04.05.2016 r.), dalej „RODO”, Ośrodek Rozwoju Edukacji w Warszawie informuje, że: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after="0" w:line="312" w:lineRule="auto"/>
        <w:ind w:left="284" w:hanging="28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Administratorem Pani/Pana danych osobowych jest Ośrodek Rozwoju Edukacji z siedzibą w Warszawie, 00-478 Warszawa, Al. Ujazdowskie 28, e-mail: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sekretariat@ore.edu.pl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</w:t>
      </w:r>
    </w:p>
    <w:p w:rsidR="00000000" w:rsidDel="00000000" w:rsidP="00000000" w:rsidRDefault="00000000" w:rsidRPr="00000000" w14:paraId="0000004A">
      <w:pPr>
        <w:spacing w:after="0" w:line="312" w:lineRule="auto"/>
        <w:ind w:left="284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tel. 22 345 37 00;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after="0" w:line="312" w:lineRule="auto"/>
        <w:ind w:left="284" w:hanging="28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 sprawach dotyczących przetwarzania danych osobowych może się Pani/Pan skontaktować z Inspektorem Ochrony Danych poprzez e-mail: iod@ore.edu.pl;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spacing w:after="0" w:line="312" w:lineRule="auto"/>
        <w:ind w:left="284" w:hanging="28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Pani/Pana dane osobowe przetwarzane będą w celu związanym z postępowaniem o udzielenie zamówienia publicznego zgodnie z obowiązującymi przepisami prawa;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spacing w:after="0" w:line="312" w:lineRule="auto"/>
        <w:ind w:left="284" w:hanging="28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Odbiorcami Pani/Pana danych osobowych mogą być osoby lub podmioty, którym udostępniona zostanie dokumentacja postępowania w oparciu o przepisy Prawa Zamówień Publicznych lub przepisy o dostępnie do informacji publicznej, podmioty upoważnione na podstawie przepisów prawa, a także podmioty świadczące usługi na rzecz administratora na podstawie zawartych z nim umów;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spacing w:after="0" w:lineRule="auto"/>
        <w:ind w:left="284" w:hanging="284"/>
        <w:jc w:val="both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Pani/Pana dane osobowe będą przechowywane, przez okres 4 lat od dnia zakończenia postępowania o udzielenie zamówienia, a jeśli czas trwania umowy przekracza 4 lata, okres przechowywania obejmuje cały czas trwania umowy, a po jej zakończeniu, czas wymagany przez przepisy powszechnie obowiązującego prawa;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pacing w:after="0" w:line="312" w:lineRule="auto"/>
        <w:ind w:left="284" w:hanging="28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Podanie danych osobowych Pani/Pana dotyczących jest dobrowolne ale niezbędne w celu wzięcia udziału w postępowaniu o udzielenie zamówienia publicznego;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spacing w:after="0" w:line="312" w:lineRule="auto"/>
        <w:ind w:left="284" w:hanging="28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Pani/Pana dane osobowe nie będą podlegały zautomatyzowanemu podejmowaniu decyzji w tym również profilowaniu;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spacing w:after="0" w:line="312" w:lineRule="auto"/>
        <w:ind w:left="284" w:hanging="28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Dane osobowe nie będą przekazywane do państwa trzeciego ani organizacji międzynarodowej;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spacing w:after="0" w:lineRule="auto"/>
        <w:ind w:left="284" w:hanging="28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000000" w:rsidDel="00000000" w:rsidP="00000000" w:rsidRDefault="00000000" w:rsidRPr="00000000" w14:paraId="00000053">
      <w:pPr>
        <w:spacing w:after="120" w:before="12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VIII. Uwagi końcowe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zastrzega sobie prawo do zamknięcia postępowania o udzielenie zamówienia bez podawania przyczyny na każdym etapie postępowania.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odrzuci ofertę Wykonawcy, który nie spełnia warunków udziału w postępowaniu.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uczestniczą w postępowaniu na własne ryzyko i koszt, nie przysługują im żadne roszczenia z tytułu zamknięcia lub unieważnienia postępowania przez Zamawiającego.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Ocena zgodności ofert z wymaganiami Zamawiającego przeprowadzona zostanie na podstawie analizy dokumentów i materiałów, jakie Wykonawca zawarł w swej ofercie. </w:t>
      </w:r>
    </w:p>
    <w:p w:rsidR="00000000" w:rsidDel="00000000" w:rsidP="00000000" w:rsidRDefault="00000000" w:rsidRPr="00000000" w14:paraId="00000058">
      <w:pPr>
        <w:spacing w:after="120" w:before="12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IX. Załączniki</w:t>
      </w:r>
    </w:p>
    <w:p w:rsidR="00000000" w:rsidDel="00000000" w:rsidP="00000000" w:rsidRDefault="00000000" w:rsidRPr="00000000" w14:paraId="00000059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Załącznik nr 1 –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Formularz ofertowy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Sporządził: 14 lutego 2022 r. Grażyna Wojszczyk</w:t>
      </w:r>
    </w:p>
    <w:p w:rsidR="00000000" w:rsidDel="00000000" w:rsidP="00000000" w:rsidRDefault="00000000" w:rsidRPr="00000000" w14:paraId="0000005B">
      <w:pPr>
        <w:spacing w:after="0" w:lineRule="auto"/>
        <w:ind w:firstLine="198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(data, podpis, pieczątka)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Sprawdził: ……………………………………………………………………..</w:t>
      </w:r>
    </w:p>
    <w:p w:rsidR="00000000" w:rsidDel="00000000" w:rsidP="00000000" w:rsidRDefault="00000000" w:rsidRPr="00000000" w14:paraId="0000005D">
      <w:pPr>
        <w:spacing w:after="0" w:lineRule="auto"/>
        <w:ind w:firstLine="1134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(kierownik komórki organizacyjnej/data, podpis, pieczątka)</w:t>
      </w:r>
    </w:p>
    <w:p w:rsidR="00000000" w:rsidDel="00000000" w:rsidP="00000000" w:rsidRDefault="00000000" w:rsidRPr="00000000" w14:paraId="0000005E">
      <w:pPr>
        <w:spacing w:after="0" w:line="360" w:lineRule="auto"/>
        <w:ind w:firstLine="1418"/>
        <w:rPr>
          <w:rFonts w:ascii="Arial" w:cs="Arial" w:eastAsia="Arial" w:hAnsi="Arial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947420</wp:posOffset>
                </wp:positionV>
                <wp:extent cx="1914525" cy="141414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93500" y="3077690"/>
                          <a:ext cx="190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………………………………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(miejscowość, data)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947420</wp:posOffset>
                </wp:positionV>
                <wp:extent cx="1914525" cy="1414145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977900</wp:posOffset>
                </wp:positionV>
                <wp:extent cx="3438525" cy="790575"/>
                <wp:effectExtent b="0" l="0" r="0" t="0"/>
                <wp:wrapNone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31500" y="3389475"/>
                          <a:ext cx="34290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…………….………………………………………..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Zatwierdzenie przez Kierownika Zamawiającego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lub osobę upoważnioną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podpis, pieczątka)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977900</wp:posOffset>
                </wp:positionV>
                <wp:extent cx="3438525" cy="790575"/>
                <wp:effectExtent b="0" l="0" r="0" t="0"/>
                <wp:wrapNone/>
                <wp:docPr id="2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8525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13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0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2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4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8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0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4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61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90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2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4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8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0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4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61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90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2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4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8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0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4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61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80" w:hanging="360"/>
      </w:pPr>
      <w:rPr/>
    </w:lvl>
    <w:lvl w:ilvl="1">
      <w:start w:val="1"/>
      <w:numFmt w:val="lowerLetter"/>
      <w:lvlText w:val="%2."/>
      <w:lvlJc w:val="left"/>
      <w:pPr>
        <w:ind w:left="1500" w:hanging="360"/>
      </w:pPr>
      <w:rPr/>
    </w:lvl>
    <w:lvl w:ilvl="2">
      <w:start w:val="1"/>
      <w:numFmt w:val="lowerRoman"/>
      <w:lvlText w:val="%3."/>
      <w:lvlJc w:val="right"/>
      <w:pPr>
        <w:ind w:left="2220" w:hanging="180"/>
      </w:pPr>
      <w:rPr/>
    </w:lvl>
    <w:lvl w:ilvl="3">
      <w:start w:val="1"/>
      <w:numFmt w:val="decimal"/>
      <w:lvlText w:val="%4."/>
      <w:lvlJc w:val="left"/>
      <w:pPr>
        <w:ind w:left="2940" w:hanging="360"/>
      </w:pPr>
      <w:rPr/>
    </w:lvl>
    <w:lvl w:ilvl="4">
      <w:start w:val="1"/>
      <w:numFmt w:val="lowerLetter"/>
      <w:lvlText w:val="%5."/>
      <w:lvlJc w:val="left"/>
      <w:pPr>
        <w:ind w:left="3660" w:hanging="360"/>
      </w:pPr>
      <w:rPr/>
    </w:lvl>
    <w:lvl w:ilvl="5">
      <w:start w:val="1"/>
      <w:numFmt w:val="lowerRoman"/>
      <w:lvlText w:val="%6."/>
      <w:lvlJc w:val="right"/>
      <w:pPr>
        <w:ind w:left="4380" w:hanging="180"/>
      </w:pPr>
      <w:rPr/>
    </w:lvl>
    <w:lvl w:ilvl="6">
      <w:start w:val="1"/>
      <w:numFmt w:val="decimal"/>
      <w:lvlText w:val="%7."/>
      <w:lvlJc w:val="left"/>
      <w:pPr>
        <w:ind w:left="5100" w:hanging="360"/>
      </w:pPr>
      <w:rPr/>
    </w:lvl>
    <w:lvl w:ilvl="7">
      <w:start w:val="1"/>
      <w:numFmt w:val="lowerLetter"/>
      <w:lvlText w:val="%8."/>
      <w:lvlJc w:val="left"/>
      <w:pPr>
        <w:ind w:left="5820" w:hanging="360"/>
      </w:pPr>
      <w:rPr/>
    </w:lvl>
    <w:lvl w:ilvl="8">
      <w:start w:val="1"/>
      <w:numFmt w:val="lowerRoman"/>
      <w:lvlText w:val="%9."/>
      <w:lvlJc w:val="right"/>
      <w:pPr>
        <w:ind w:left="65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spacing w:after="200" w:line="276" w:lineRule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dymka">
    <w:name w:val="Balloon Text"/>
    <w:basedOn w:val="Normalny"/>
    <w:link w:val="TekstdymkaZnak"/>
    <w:uiPriority w:val="99"/>
    <w:semiHidden w:val="1"/>
    <w:unhideWhenUsed w:val="1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qFormat w:val="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qFormat w:val="1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 w:val="1"/>
    <w:qFormat w:val="1"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 w:val="1"/>
    <w:unhideWhenUsed w:val="1"/>
    <w:qFormat w:val="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qFormat w:val="1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 w:val="1"/>
    <w:qFormat w:val="1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 w:val="1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qFormat w:val="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" w:customStyle="1">
    <w:name w:val="Paragraf"/>
    <w:basedOn w:val="Normalny"/>
    <w:link w:val="ParagrafZnak"/>
    <w:qFormat w:val="1"/>
    <w:pPr>
      <w:spacing w:after="0" w:line="240" w:lineRule="auto"/>
      <w:jc w:val="center"/>
    </w:pPr>
    <w:rPr>
      <w:rFonts w:ascii="Bookman Old Style" w:hAnsi="Bookman Old Style"/>
      <w:b w:val="1"/>
      <w:sz w:val="21"/>
      <w:szCs w:val="21"/>
    </w:rPr>
  </w:style>
  <w:style w:type="paragraph" w:styleId="Tytuparagrafu" w:customStyle="1">
    <w:name w:val="Tytuł paragrafu"/>
    <w:basedOn w:val="Normalny"/>
    <w:next w:val="Normalny"/>
    <w:qFormat w:val="1"/>
    <w:pPr>
      <w:keepNext w:val="1"/>
      <w:spacing w:after="120"/>
      <w:jc w:val="center"/>
    </w:pPr>
    <w:rPr>
      <w:rFonts w:ascii="Arial" w:hAnsi="Arial"/>
      <w:b w:val="1"/>
      <w:sz w:val="24"/>
    </w:rPr>
  </w:style>
  <w:style w:type="character" w:styleId="ParagrafZnak" w:customStyle="1">
    <w:name w:val="Paragraf Znak"/>
    <w:basedOn w:val="Domylnaczcionkaakapitu"/>
    <w:link w:val="Paragraf"/>
    <w:qFormat w:val="1"/>
    <w:rPr>
      <w:rFonts w:ascii="Bookman Old Style" w:hAnsi="Bookman Old Style"/>
      <w:b w:val="1"/>
      <w:sz w:val="21"/>
      <w:szCs w:val="21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qFormat w:val="1"/>
    <w:rPr>
      <w:sz w:val="20"/>
      <w:szCs w:val="20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qFormat w:val="1"/>
    <w:rPr>
      <w:rFonts w:ascii="Tahoma" w:cs="Tahoma" w:hAnsi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 w:val="1"/>
    <w:pPr>
      <w:ind w:left="720"/>
      <w:contextualSpacing w:val="1"/>
    </w:pPr>
  </w:style>
  <w:style w:type="paragraph" w:styleId="Bezodstpw">
    <w:name w:val="No Spacing"/>
    <w:uiPriority w:val="1"/>
    <w:qFormat w:val="1"/>
    <w:rPr>
      <w:rFonts w:ascii="Calibri" w:eastAsia="Calibri" w:hAnsi="Calibri"/>
      <w:sz w:val="22"/>
      <w:szCs w:val="22"/>
      <w:lang w:eastAsia="en-US"/>
    </w:rPr>
  </w:style>
  <w:style w:type="paragraph" w:styleId="Teksttreci1" w:customStyle="1">
    <w:name w:val="Tekst treści1"/>
    <w:basedOn w:val="Normalny"/>
    <w:qFormat w:val="1"/>
    <w:pPr>
      <w:widowControl w:val="0"/>
      <w:shd w:color="auto" w:fill="ffffff" w:val="clear"/>
      <w:suppressAutoHyphens w:val="1"/>
      <w:autoSpaceDN w:val="0"/>
      <w:spacing w:after="360" w:before="360" w:line="240" w:lineRule="atLeast"/>
      <w:ind w:hanging="860"/>
      <w:textAlignment w:val="baseline"/>
    </w:pPr>
    <w:rPr>
      <w:rFonts w:ascii="Tahoma" w:cs="Times New Roman" w:eastAsia="Calibri" w:hAnsi="Tahoma"/>
      <w:sz w:val="17"/>
      <w:szCs w:val="17"/>
    </w:rPr>
  </w:style>
  <w:style w:type="character" w:styleId="AkapitzlistZnak" w:customStyle="1">
    <w:name w:val="Akapit z listą Znak"/>
    <w:link w:val="Akapitzlist"/>
    <w:uiPriority w:val="34"/>
    <w:qFormat w:val="1"/>
  </w:style>
  <w:style w:type="character" w:styleId="Tekstzastpczy">
    <w:name w:val="Placeholder Text"/>
    <w:basedOn w:val="Domylnaczcionkaakapitu"/>
    <w:uiPriority w:val="99"/>
    <w:semiHidden w:val="1"/>
    <w:qFormat w:val="1"/>
    <w:rPr>
      <w:color w:val="808080"/>
    </w:rPr>
  </w:style>
  <w:style w:type="character" w:styleId="NagwekZnak" w:customStyle="1">
    <w:name w:val="Nagłówek Znak"/>
    <w:basedOn w:val="Domylnaczcionkaakapitu"/>
    <w:link w:val="Nagwek"/>
    <w:uiPriority w:val="99"/>
    <w:qFormat w:val="1"/>
  </w:style>
  <w:style w:type="character" w:styleId="StopkaZnak" w:customStyle="1">
    <w:name w:val="Stopka Znak"/>
    <w:basedOn w:val="Domylnaczcionkaakapitu"/>
    <w:link w:val="Stopka"/>
    <w:uiPriority w:val="99"/>
    <w:qFormat w:val="1"/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qFormat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hyperlink" Target="mailto:sekretariat@ore.edu.pl" TargetMode="External"/><Relationship Id="rId13" Type="http://schemas.openxmlformats.org/officeDocument/2006/relationships/footer" Target="footer1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razyna.wojszczyk@ore.edu.p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bronislaw.boryca@ore.edu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sXElV1WlT6qifFIwQnUvxh/DVQ==">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2022-02-18T13:18:00Z</dcterms:created>
  <dc:creator>Andrzej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A581EC8AC9F24DBCBAD9268EF5E93C5E</vt:lpwstr>
  </property>
</Properties>
</file>