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3A6F2" w14:textId="77CC0984" w:rsidR="006342DD" w:rsidRPr="00086416" w:rsidRDefault="0052688E" w:rsidP="00086416">
      <w:pPr>
        <w:pStyle w:val="Akapitzlist"/>
        <w:tabs>
          <w:tab w:val="left" w:pos="0"/>
        </w:tabs>
        <w:spacing w:after="360"/>
        <w:ind w:left="0"/>
        <w:jc w:val="both"/>
        <w:rPr>
          <w:rFonts w:cstheme="minorHAnsi"/>
        </w:rPr>
      </w:pPr>
      <w:r w:rsidRPr="00086416">
        <w:rPr>
          <w:rFonts w:cstheme="minorHAnsi"/>
        </w:rPr>
        <w:t xml:space="preserve">Warszawa, dn. </w:t>
      </w:r>
      <w:r w:rsidR="0071730A">
        <w:rPr>
          <w:rFonts w:cstheme="minorHAnsi"/>
        </w:rPr>
        <w:t>13</w:t>
      </w:r>
      <w:r w:rsidRPr="00086416">
        <w:rPr>
          <w:rFonts w:cstheme="minorHAnsi"/>
        </w:rPr>
        <w:t>.</w:t>
      </w:r>
      <w:r w:rsidR="00590274" w:rsidRPr="00086416">
        <w:rPr>
          <w:rFonts w:cstheme="minorHAnsi"/>
        </w:rPr>
        <w:t>01</w:t>
      </w:r>
      <w:r w:rsidRPr="00086416">
        <w:rPr>
          <w:rFonts w:cstheme="minorHAnsi"/>
        </w:rPr>
        <w:t>.202</w:t>
      </w:r>
      <w:r w:rsidR="00590274" w:rsidRPr="00086416">
        <w:rPr>
          <w:rFonts w:cstheme="minorHAnsi"/>
        </w:rPr>
        <w:t>1</w:t>
      </w:r>
      <w:r w:rsidRPr="00086416">
        <w:rPr>
          <w:rFonts w:cstheme="minorHAnsi"/>
        </w:rPr>
        <w:t xml:space="preserve"> r. </w:t>
      </w:r>
    </w:p>
    <w:p w14:paraId="27C87678" w14:textId="77777777" w:rsidR="00450466" w:rsidRPr="00086416" w:rsidRDefault="00450466" w:rsidP="00086416">
      <w:pPr>
        <w:spacing w:after="480"/>
        <w:jc w:val="center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>ZAPYTANIE OFERTOWE</w:t>
      </w:r>
    </w:p>
    <w:p w14:paraId="5075AA4A" w14:textId="09F7F9CF" w:rsidR="00F600E6" w:rsidRPr="00086416" w:rsidRDefault="00BE2F03" w:rsidP="00086416">
      <w:pPr>
        <w:pStyle w:val="Akapitzlist"/>
        <w:numPr>
          <w:ilvl w:val="0"/>
          <w:numId w:val="29"/>
        </w:numPr>
        <w:jc w:val="both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>Zamawiający</w:t>
      </w:r>
      <w:r w:rsidR="00F600E6" w:rsidRPr="00086416">
        <w:rPr>
          <w:rFonts w:eastAsia="Calibri" w:cstheme="minorHAnsi"/>
          <w:b/>
        </w:rPr>
        <w:t>:</w:t>
      </w:r>
    </w:p>
    <w:p w14:paraId="4D12CAC6" w14:textId="77777777" w:rsidR="00F600E6" w:rsidRPr="00086416" w:rsidRDefault="00F600E6" w:rsidP="00F600E6">
      <w:pPr>
        <w:spacing w:after="0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>Ośrodek Rozwoju Edukacji</w:t>
      </w:r>
      <w:r w:rsidR="00C8188B" w:rsidRPr="00086416">
        <w:rPr>
          <w:rFonts w:eastAsia="Calibri" w:cstheme="minorHAnsi"/>
          <w:b/>
        </w:rPr>
        <w:t xml:space="preserve"> w Warszawie</w:t>
      </w:r>
    </w:p>
    <w:p w14:paraId="64F9EB5D" w14:textId="77777777" w:rsidR="00F600E6" w:rsidRPr="00086416" w:rsidRDefault="00F600E6" w:rsidP="00F600E6">
      <w:pPr>
        <w:spacing w:after="0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>Aleje Ujazdowskie 28</w:t>
      </w:r>
    </w:p>
    <w:p w14:paraId="1056D24E" w14:textId="1378A47D" w:rsidR="00F600E6" w:rsidRPr="00086416" w:rsidRDefault="00F600E6" w:rsidP="00086416">
      <w:pPr>
        <w:spacing w:after="480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>00-478 Warszawa</w:t>
      </w:r>
    </w:p>
    <w:p w14:paraId="6DCEB42E" w14:textId="15BD5A9F" w:rsidR="0052688E" w:rsidRPr="00086416" w:rsidRDefault="00BE2F03" w:rsidP="00086416">
      <w:pPr>
        <w:shd w:val="clear" w:color="auto" w:fill="FFFFFF"/>
        <w:rPr>
          <w:rFonts w:cstheme="minorHAnsi"/>
          <w:color w:val="000000" w:themeColor="text1"/>
        </w:rPr>
      </w:pPr>
      <w:r w:rsidRPr="00086416">
        <w:rPr>
          <w:rFonts w:eastAsia="Calibri" w:cstheme="minorHAnsi"/>
        </w:rPr>
        <w:t>zwraca się do Państwa z zapytaniem ofertowym na</w:t>
      </w:r>
      <w:r w:rsidR="00EB7E86" w:rsidRPr="00086416">
        <w:rPr>
          <w:rFonts w:cstheme="minorHAnsi"/>
          <w:b/>
          <w:color w:val="222222"/>
        </w:rPr>
        <w:t xml:space="preserve"> </w:t>
      </w:r>
      <w:r w:rsidR="0052688E" w:rsidRPr="00086416">
        <w:rPr>
          <w:rFonts w:cstheme="minorHAnsi"/>
          <w:b/>
          <w:bCs/>
          <w:color w:val="000000" w:themeColor="text1"/>
        </w:rPr>
        <w:t xml:space="preserve">usługę dostępu do narzędzia informatycznego przeznaczonego do obsługi procesu ubiegania się o środki grantowe z EFS, oceny wniosków </w:t>
      </w:r>
      <w:r w:rsidR="003208D0" w:rsidRPr="00086416">
        <w:rPr>
          <w:rFonts w:cstheme="minorHAnsi"/>
          <w:b/>
          <w:bCs/>
          <w:color w:val="000000" w:themeColor="text1"/>
        </w:rPr>
        <w:br/>
      </w:r>
      <w:r w:rsidR="0052688E" w:rsidRPr="00086416">
        <w:rPr>
          <w:rFonts w:cstheme="minorHAnsi"/>
          <w:b/>
          <w:bCs/>
          <w:color w:val="000000" w:themeColor="text1"/>
        </w:rPr>
        <w:t xml:space="preserve">i sprawozdawania stopnia realizacji działań prowadzonych przez </w:t>
      </w:r>
      <w:proofErr w:type="spellStart"/>
      <w:r w:rsidR="0052688E" w:rsidRPr="00086416">
        <w:rPr>
          <w:rFonts w:cstheme="minorHAnsi"/>
          <w:b/>
          <w:bCs/>
          <w:color w:val="000000" w:themeColor="text1"/>
        </w:rPr>
        <w:t>Grantobiorców</w:t>
      </w:r>
      <w:proofErr w:type="spellEnd"/>
      <w:r w:rsidR="0052688E" w:rsidRPr="00086416">
        <w:rPr>
          <w:rFonts w:cstheme="minorHAnsi"/>
          <w:bCs/>
          <w:color w:val="000000" w:themeColor="text1"/>
        </w:rPr>
        <w:t xml:space="preserve">. Usługa realizowana jest w ramach </w:t>
      </w:r>
      <w:r w:rsidR="0052688E" w:rsidRPr="00086416">
        <w:rPr>
          <w:rFonts w:cstheme="minorHAnsi"/>
          <w:color w:val="000000" w:themeColor="text1"/>
        </w:rPr>
        <w:t>projektu pozakonkursowego „Pilotażowe wdrożenie modelu Specjalistycznych Centrów Wspierających Edukację Włączającą (SCWEW)” na podstawie decyzji Ministra Edukacji Narodowej nr UDA-POWR.02.10-00-0002/19-01 z dnia 06.08.2020 r. w ramach Programu Operacyjnego Wiedza Edukacja Rozwój 2014-2020 współfinansowanego ze środków Europejskiego Funduszu Społecznego.</w:t>
      </w:r>
    </w:p>
    <w:p w14:paraId="2DE32B3E" w14:textId="77453AAD" w:rsidR="00BE2F03" w:rsidRPr="00086416" w:rsidRDefault="00BE2F03" w:rsidP="00086416">
      <w:pPr>
        <w:pStyle w:val="Akapitzlist"/>
        <w:numPr>
          <w:ilvl w:val="0"/>
          <w:numId w:val="29"/>
        </w:numPr>
        <w:jc w:val="both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 xml:space="preserve">Osoba nadzorująca realizację </w:t>
      </w:r>
      <w:r w:rsidR="000817E8" w:rsidRPr="00086416">
        <w:rPr>
          <w:rFonts w:eastAsia="Calibri" w:cstheme="minorHAnsi"/>
          <w:b/>
        </w:rPr>
        <w:t>z</w:t>
      </w:r>
      <w:r w:rsidRPr="00086416">
        <w:rPr>
          <w:rFonts w:eastAsia="Calibri" w:cstheme="minorHAnsi"/>
          <w:b/>
        </w:rPr>
        <w:t>amówienia ze strony Zamawiającego:</w:t>
      </w:r>
    </w:p>
    <w:p w14:paraId="1C008435" w14:textId="5EFD0BFF" w:rsidR="00A47018" w:rsidRPr="00086416" w:rsidRDefault="00A47018" w:rsidP="00590274">
      <w:pPr>
        <w:spacing w:after="0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Ewa </w:t>
      </w:r>
      <w:proofErr w:type="spellStart"/>
      <w:r w:rsidRPr="00086416">
        <w:rPr>
          <w:rFonts w:eastAsia="Calibri" w:cstheme="minorHAnsi"/>
        </w:rPr>
        <w:t>Broma</w:t>
      </w:r>
      <w:proofErr w:type="spellEnd"/>
      <w:r w:rsidRPr="00086416">
        <w:rPr>
          <w:rFonts w:eastAsia="Calibri" w:cstheme="minorHAnsi"/>
        </w:rPr>
        <w:t xml:space="preserve"> Bąk</w:t>
      </w:r>
    </w:p>
    <w:p w14:paraId="0DCAA1C6" w14:textId="18A88E37" w:rsidR="00741E28" w:rsidRPr="00086416" w:rsidRDefault="00590274" w:rsidP="003D3018">
      <w:pPr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Wydział Diagnozy i Współpracy z Poradniami </w:t>
      </w:r>
      <w:proofErr w:type="spellStart"/>
      <w:r w:rsidRPr="00086416">
        <w:rPr>
          <w:rFonts w:eastAsia="Calibri" w:cstheme="minorHAnsi"/>
        </w:rPr>
        <w:t>Psychologiczno</w:t>
      </w:r>
      <w:proofErr w:type="spellEnd"/>
      <w:r w:rsidRPr="00086416">
        <w:rPr>
          <w:rFonts w:eastAsia="Calibri" w:cstheme="minorHAnsi"/>
        </w:rPr>
        <w:t xml:space="preserve">–Pedagogicznymi, </w:t>
      </w:r>
      <w:r w:rsidR="005E62FF" w:rsidRPr="00086416">
        <w:rPr>
          <w:rFonts w:eastAsia="Calibri" w:cstheme="minorHAnsi"/>
        </w:rPr>
        <w:br/>
      </w:r>
      <w:r w:rsidRPr="00086416">
        <w:rPr>
          <w:rFonts w:eastAsia="Calibri" w:cstheme="minorHAnsi"/>
        </w:rPr>
        <w:t xml:space="preserve">e-mail: </w:t>
      </w:r>
      <w:hyperlink r:id="rId8" w:history="1">
        <w:r w:rsidR="00CC6308" w:rsidRPr="00086416">
          <w:rPr>
            <w:rStyle w:val="Hipercze"/>
            <w:rFonts w:eastAsia="Calibri" w:cstheme="minorHAnsi"/>
          </w:rPr>
          <w:t>ewa.broma-bak@ore.edu.pl</w:t>
        </w:r>
      </w:hyperlink>
      <w:r w:rsidRPr="00086416">
        <w:rPr>
          <w:rFonts w:eastAsia="Calibri" w:cstheme="minorHAnsi"/>
        </w:rPr>
        <w:t xml:space="preserve">, tel. </w:t>
      </w:r>
      <w:r w:rsidR="000657D3" w:rsidRPr="00086416">
        <w:rPr>
          <w:rFonts w:eastAsia="Times New Roman" w:cstheme="minorHAnsi"/>
          <w:lang w:eastAsia="pl-PL"/>
        </w:rPr>
        <w:t>22 570 83 29</w:t>
      </w:r>
      <w:r w:rsidRPr="00086416">
        <w:rPr>
          <w:rFonts w:eastAsia="Calibri" w:cstheme="minorHAnsi"/>
        </w:rPr>
        <w:t>.</w:t>
      </w:r>
    </w:p>
    <w:p w14:paraId="31ACD1EB" w14:textId="0CC514DC" w:rsidR="00BE2F03" w:rsidRPr="00361CE4" w:rsidRDefault="00DB72EA" w:rsidP="00361CE4">
      <w:pPr>
        <w:pStyle w:val="Akapitzlist"/>
        <w:numPr>
          <w:ilvl w:val="0"/>
          <w:numId w:val="29"/>
        </w:numPr>
        <w:jc w:val="both"/>
        <w:rPr>
          <w:rFonts w:eastAsia="Calibri" w:cstheme="minorHAnsi"/>
          <w:b/>
        </w:rPr>
      </w:pPr>
      <w:r w:rsidRPr="00361CE4">
        <w:rPr>
          <w:rFonts w:eastAsia="Calibri" w:cstheme="minorHAnsi"/>
          <w:b/>
        </w:rPr>
        <w:t>Przedmiot Zamówienia</w:t>
      </w:r>
      <w:r w:rsidR="00BE2F03" w:rsidRPr="00361CE4">
        <w:rPr>
          <w:rFonts w:eastAsia="Calibri" w:cstheme="minorHAnsi"/>
          <w:b/>
        </w:rPr>
        <w:t xml:space="preserve"> </w:t>
      </w:r>
    </w:p>
    <w:p w14:paraId="4DFDE58F" w14:textId="77777777" w:rsidR="00C63363" w:rsidRPr="00086416" w:rsidRDefault="00DB72EA" w:rsidP="00361CE4">
      <w:pPr>
        <w:rPr>
          <w:rFonts w:cstheme="minorHAnsi"/>
        </w:rPr>
      </w:pPr>
      <w:r w:rsidRPr="00086416">
        <w:rPr>
          <w:rFonts w:cstheme="minorHAnsi"/>
        </w:rPr>
        <w:t xml:space="preserve">Przedmiotem zamówienia jest świadczenie usługi </w:t>
      </w:r>
      <w:r w:rsidR="00C63363" w:rsidRPr="00086416">
        <w:rPr>
          <w:rFonts w:cstheme="minorHAnsi"/>
        </w:rPr>
        <w:t xml:space="preserve">polegająca na zapewnieniu dostępu do narzędzia informatycznego przeznaczonego do obsługi procesu ubiegania się o środki grantowe z EFS, oceny wniosków i sprawozdawania stopnia realizacji działań prowadzonych przez </w:t>
      </w:r>
      <w:proofErr w:type="spellStart"/>
      <w:r w:rsidR="00C63363" w:rsidRPr="00086416">
        <w:rPr>
          <w:rFonts w:cstheme="minorHAnsi"/>
        </w:rPr>
        <w:t>Grantobiorców</w:t>
      </w:r>
      <w:proofErr w:type="spellEnd"/>
      <w:r w:rsidR="00C63363" w:rsidRPr="00086416">
        <w:rPr>
          <w:rFonts w:cstheme="minorHAnsi"/>
        </w:rPr>
        <w:t>.</w:t>
      </w:r>
    </w:p>
    <w:p w14:paraId="205C79D7" w14:textId="14F03C3C" w:rsidR="001D1E46" w:rsidRPr="00086416" w:rsidRDefault="001D1E46" w:rsidP="00361CE4">
      <w:pPr>
        <w:rPr>
          <w:rFonts w:cstheme="minorHAnsi"/>
          <w:u w:val="single"/>
        </w:rPr>
      </w:pPr>
      <w:r w:rsidRPr="00086416">
        <w:rPr>
          <w:rFonts w:cstheme="minorHAnsi"/>
          <w:u w:val="single"/>
        </w:rPr>
        <w:t>Szczegółowy Opis Przedmiotu Zamówienia stanowi załącznik nr 1 do Zapytania ofertowego.</w:t>
      </w:r>
      <w:r w:rsidR="00D67B41" w:rsidRPr="00086416">
        <w:rPr>
          <w:rFonts w:cstheme="minorHAnsi"/>
        </w:rPr>
        <w:t xml:space="preserve"> Poniżej zawarte są założenia organizacyjne konkursu grantowego oraz wymagania względem Wykonawcy </w:t>
      </w:r>
      <w:r w:rsidR="00590274" w:rsidRPr="00086416">
        <w:rPr>
          <w:rFonts w:cstheme="minorHAnsi"/>
        </w:rPr>
        <w:br/>
      </w:r>
      <w:r w:rsidR="00D67B41" w:rsidRPr="00086416">
        <w:rPr>
          <w:rFonts w:cstheme="minorHAnsi"/>
        </w:rPr>
        <w:t>i szacunkowy terminarz współpracy.</w:t>
      </w:r>
    </w:p>
    <w:p w14:paraId="16BAED3F" w14:textId="3D6A7604" w:rsidR="00C63363" w:rsidRPr="00086416" w:rsidRDefault="00C63363" w:rsidP="00361CE4">
      <w:pPr>
        <w:rPr>
          <w:rFonts w:cstheme="minorHAnsi"/>
        </w:rPr>
      </w:pPr>
      <w:r w:rsidRPr="00086416">
        <w:rPr>
          <w:rFonts w:cstheme="minorHAnsi"/>
        </w:rPr>
        <w:t xml:space="preserve">Wzór wniosku aplikacyjnego </w:t>
      </w:r>
      <w:r w:rsidR="001D1E46" w:rsidRPr="00086416">
        <w:rPr>
          <w:rFonts w:cstheme="minorHAnsi"/>
        </w:rPr>
        <w:t>oraz karty oceny formalnej i merytorycznej</w:t>
      </w:r>
      <w:r w:rsidR="00D67B41" w:rsidRPr="00086416">
        <w:rPr>
          <w:rFonts w:cstheme="minorHAnsi"/>
        </w:rPr>
        <w:t>,</w:t>
      </w:r>
      <w:r w:rsidR="001D1E46" w:rsidRPr="00086416">
        <w:rPr>
          <w:rFonts w:cstheme="minorHAnsi"/>
        </w:rPr>
        <w:t xml:space="preserve"> </w:t>
      </w:r>
      <w:r w:rsidRPr="00086416">
        <w:rPr>
          <w:rFonts w:cstheme="minorHAnsi"/>
        </w:rPr>
        <w:t xml:space="preserve">do zamieszczenia w ramach usługi związanej z udostępnieniem narzędzia informatycznego </w:t>
      </w:r>
      <w:r w:rsidR="00D67B41" w:rsidRPr="00086416">
        <w:rPr>
          <w:rFonts w:cstheme="minorHAnsi"/>
        </w:rPr>
        <w:t xml:space="preserve">stanowi </w:t>
      </w:r>
      <w:r w:rsidRPr="00086416">
        <w:rPr>
          <w:rFonts w:cstheme="minorHAnsi"/>
        </w:rPr>
        <w:t xml:space="preserve">załączniku nr </w:t>
      </w:r>
      <w:r w:rsidR="001D1E46" w:rsidRPr="00086416">
        <w:rPr>
          <w:rFonts w:cstheme="minorHAnsi"/>
        </w:rPr>
        <w:t>4</w:t>
      </w:r>
      <w:r w:rsidR="00B075B5" w:rsidRPr="00086416">
        <w:rPr>
          <w:rFonts w:cstheme="minorHAnsi"/>
        </w:rPr>
        <w:t xml:space="preserve"> a) - </w:t>
      </w:r>
      <w:r w:rsidR="005E62FF" w:rsidRPr="00086416">
        <w:rPr>
          <w:rFonts w:cstheme="minorHAnsi"/>
        </w:rPr>
        <w:t>c</w:t>
      </w:r>
      <w:r w:rsidR="00B075B5" w:rsidRPr="00086416">
        <w:rPr>
          <w:rFonts w:cstheme="minorHAnsi"/>
        </w:rPr>
        <w:t>)</w:t>
      </w:r>
      <w:r w:rsidRPr="00086416">
        <w:rPr>
          <w:rFonts w:cstheme="minorHAnsi"/>
        </w:rPr>
        <w:t>.</w:t>
      </w:r>
    </w:p>
    <w:p w14:paraId="1C2C4FF2" w14:textId="77777777" w:rsidR="00D67B41" w:rsidRPr="00086416" w:rsidRDefault="00D67B41" w:rsidP="00D67B41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086416">
        <w:rPr>
          <w:rFonts w:cstheme="minorHAnsi"/>
          <w:b/>
          <w:bCs/>
          <w:color w:val="000000" w:themeColor="text1"/>
        </w:rPr>
        <w:t>Założenia organizacyjne dot. konkursu grantowego:</w:t>
      </w:r>
    </w:p>
    <w:p w14:paraId="6B03CA62" w14:textId="3A59693F" w:rsidR="00AA7E96" w:rsidRPr="00086416" w:rsidRDefault="00D67B41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bCs/>
          <w:color w:val="000000" w:themeColor="text1"/>
        </w:rPr>
      </w:pPr>
      <w:r w:rsidRPr="00086416">
        <w:rPr>
          <w:rFonts w:cstheme="minorHAnsi"/>
          <w:bCs/>
          <w:color w:val="000000" w:themeColor="text1"/>
        </w:rPr>
        <w:t>Ogłoszenie konkursu przewidywane jest w styczniu</w:t>
      </w:r>
      <w:r w:rsidR="005E62FF" w:rsidRPr="00086416">
        <w:rPr>
          <w:rFonts w:cstheme="minorHAnsi"/>
          <w:bCs/>
          <w:color w:val="000000" w:themeColor="text1"/>
        </w:rPr>
        <w:t xml:space="preserve">/lutym </w:t>
      </w:r>
      <w:r w:rsidRPr="00086416">
        <w:rPr>
          <w:rFonts w:cstheme="minorHAnsi"/>
          <w:bCs/>
          <w:color w:val="000000" w:themeColor="text1"/>
        </w:rPr>
        <w:t>2021 r. (aplikujący mają 30 dni na składanie wniosków).</w:t>
      </w:r>
      <w:r w:rsidR="00AA7E96" w:rsidRPr="00086416">
        <w:rPr>
          <w:rFonts w:cstheme="minorHAnsi"/>
          <w:bCs/>
          <w:color w:val="000000" w:themeColor="text1"/>
        </w:rPr>
        <w:t xml:space="preserve"> </w:t>
      </w:r>
    </w:p>
    <w:p w14:paraId="0B77F8C8" w14:textId="156485A9" w:rsidR="00AA7E96" w:rsidRPr="00086416" w:rsidRDefault="00AA7E96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bCs/>
          <w:color w:val="000000" w:themeColor="text1"/>
        </w:rPr>
      </w:pPr>
      <w:r w:rsidRPr="00086416">
        <w:rPr>
          <w:rFonts w:cstheme="minorHAnsi"/>
          <w:bCs/>
          <w:color w:val="000000" w:themeColor="text1"/>
        </w:rPr>
        <w:t xml:space="preserve">W ramach konkursu aplikowały będą </w:t>
      </w:r>
      <w:r w:rsidRPr="00086416">
        <w:rPr>
          <w:rFonts w:eastAsia="Times New Roman" w:cstheme="minorHAnsi"/>
          <w:bCs/>
          <w:color w:val="000000"/>
        </w:rPr>
        <w:t xml:space="preserve">powiatowe jednostki samorządu terytorialnego oraz inne organy prowadzące przedszkola, szkoły i placówki specjalne prowadzące działalność edukacyjną: </w:t>
      </w:r>
      <w:r w:rsidRPr="00086416">
        <w:rPr>
          <w:rFonts w:eastAsia="Times New Roman" w:cstheme="minorHAnsi"/>
          <w:bCs/>
          <w:color w:val="000000"/>
        </w:rPr>
        <w:lastRenderedPageBreak/>
        <w:t>Młodzieżowe Ośrodki Wychowawcze (MOW), Młodzieżowe Ośrodki Socjoterapii (MOS), Specjalne Ośrodki Szkolno-Wychowawcze (SOSW).</w:t>
      </w:r>
    </w:p>
    <w:p w14:paraId="148FC8C8" w14:textId="69F44743" w:rsidR="00D67B41" w:rsidRPr="00086416" w:rsidRDefault="00D67B41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bCs/>
          <w:color w:val="000000" w:themeColor="text1"/>
        </w:rPr>
      </w:pPr>
      <w:r w:rsidRPr="00086416">
        <w:rPr>
          <w:rFonts w:cstheme="minorHAnsi"/>
          <w:bCs/>
          <w:color w:val="000000" w:themeColor="text1"/>
        </w:rPr>
        <w:t>Przewidziany jest jeden konkurs</w:t>
      </w:r>
      <w:r w:rsidR="00C03A15" w:rsidRPr="00086416">
        <w:rPr>
          <w:rFonts w:cstheme="minorHAnsi"/>
          <w:bCs/>
          <w:color w:val="000000" w:themeColor="text1"/>
        </w:rPr>
        <w:t xml:space="preserve"> zamknięty</w:t>
      </w:r>
      <w:r w:rsidRPr="00086416">
        <w:rPr>
          <w:rFonts w:cstheme="minorHAnsi"/>
          <w:bCs/>
          <w:color w:val="000000" w:themeColor="text1"/>
        </w:rPr>
        <w:t>. Zamawiający może zorganizować również rundę uzupełniającą – jeśli w pierwszym naborze nie zostanie przyznana wystarczającej liczba</w:t>
      </w:r>
      <w:r w:rsidR="00AA7E96" w:rsidRPr="00086416">
        <w:rPr>
          <w:rFonts w:cstheme="minorHAnsi"/>
          <w:bCs/>
          <w:color w:val="000000" w:themeColor="text1"/>
        </w:rPr>
        <w:t xml:space="preserve"> grantów lub nie zostaną wykorzystane środki przeznaczone na ten cel – min. </w:t>
      </w:r>
      <w:r w:rsidRPr="00086416">
        <w:rPr>
          <w:rFonts w:cstheme="minorHAnsi"/>
          <w:bCs/>
          <w:color w:val="000000" w:themeColor="text1"/>
        </w:rPr>
        <w:t>16</w:t>
      </w:r>
      <w:r w:rsidR="00AA7E96" w:rsidRPr="00086416">
        <w:rPr>
          <w:rFonts w:cstheme="minorHAnsi"/>
          <w:bCs/>
          <w:color w:val="000000" w:themeColor="text1"/>
        </w:rPr>
        <w:t xml:space="preserve"> </w:t>
      </w:r>
      <w:proofErr w:type="spellStart"/>
      <w:r w:rsidR="00AA7E96" w:rsidRPr="00086416">
        <w:rPr>
          <w:rFonts w:cstheme="minorHAnsi"/>
          <w:bCs/>
          <w:color w:val="000000" w:themeColor="text1"/>
        </w:rPr>
        <w:t>grantobiorców</w:t>
      </w:r>
      <w:proofErr w:type="spellEnd"/>
      <w:r w:rsidR="00AA7E96" w:rsidRPr="00086416">
        <w:rPr>
          <w:rFonts w:cstheme="minorHAnsi"/>
          <w:bCs/>
          <w:color w:val="000000" w:themeColor="text1"/>
        </w:rPr>
        <w:t xml:space="preserve">. </w:t>
      </w:r>
      <w:r w:rsidRPr="00086416">
        <w:rPr>
          <w:rFonts w:cstheme="minorHAnsi"/>
          <w:bCs/>
          <w:color w:val="000000" w:themeColor="text1"/>
        </w:rPr>
        <w:t> </w:t>
      </w:r>
    </w:p>
    <w:p w14:paraId="6B165601" w14:textId="77777777" w:rsidR="00D67B41" w:rsidRPr="00086416" w:rsidRDefault="00D67B41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bCs/>
          <w:color w:val="000000" w:themeColor="text1"/>
        </w:rPr>
      </w:pPr>
      <w:r w:rsidRPr="00086416">
        <w:rPr>
          <w:rFonts w:cstheme="minorHAnsi"/>
          <w:bCs/>
          <w:color w:val="000000" w:themeColor="text1"/>
        </w:rPr>
        <w:t>Ocena wniosków będzie prowadzona w mar</w:t>
      </w:r>
      <w:r w:rsidR="00623F44" w:rsidRPr="00086416">
        <w:rPr>
          <w:rFonts w:cstheme="minorHAnsi"/>
          <w:bCs/>
          <w:color w:val="000000" w:themeColor="text1"/>
        </w:rPr>
        <w:t xml:space="preserve">cu </w:t>
      </w:r>
      <w:r w:rsidRPr="00086416">
        <w:rPr>
          <w:rFonts w:cstheme="minorHAnsi"/>
          <w:bCs/>
          <w:color w:val="000000" w:themeColor="text1"/>
        </w:rPr>
        <w:t> 2021 r. W przypadku konieczności przeprowadzenia rundy uzupełniającej Zamawiający uzgodni</w:t>
      </w:r>
      <w:r w:rsidR="005839AF" w:rsidRPr="00086416">
        <w:rPr>
          <w:rFonts w:cstheme="minorHAnsi"/>
          <w:bCs/>
          <w:color w:val="000000" w:themeColor="text1"/>
        </w:rPr>
        <w:t xml:space="preserve"> </w:t>
      </w:r>
      <w:r w:rsidRPr="00086416">
        <w:rPr>
          <w:rFonts w:cstheme="minorHAnsi"/>
          <w:bCs/>
          <w:color w:val="000000" w:themeColor="text1"/>
        </w:rPr>
        <w:t>z Wykonawcą termin naboru</w:t>
      </w:r>
      <w:r w:rsidR="00C45DB4" w:rsidRPr="00086416">
        <w:rPr>
          <w:rFonts w:cstheme="minorHAnsi"/>
          <w:bCs/>
          <w:color w:val="000000" w:themeColor="text1"/>
        </w:rPr>
        <w:br/>
      </w:r>
      <w:r w:rsidRPr="00086416">
        <w:rPr>
          <w:rFonts w:cstheme="minorHAnsi"/>
          <w:bCs/>
          <w:color w:val="000000" w:themeColor="text1"/>
        </w:rPr>
        <w:t>i oceny wniosków.</w:t>
      </w:r>
    </w:p>
    <w:p w14:paraId="2922213F" w14:textId="3CF71688" w:rsidR="009F3F83" w:rsidRPr="00086416" w:rsidRDefault="00D67B41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bCs/>
          <w:color w:val="000000" w:themeColor="text1"/>
        </w:rPr>
      </w:pPr>
      <w:r w:rsidRPr="00086416">
        <w:rPr>
          <w:rFonts w:cstheme="minorHAnsi"/>
          <w:bCs/>
          <w:color w:val="000000" w:themeColor="text1"/>
        </w:rPr>
        <w:t xml:space="preserve">Narzędzie powinno dawać możliwość </w:t>
      </w:r>
      <w:r w:rsidR="009F3F83" w:rsidRPr="00086416">
        <w:rPr>
          <w:rFonts w:cstheme="minorHAnsi"/>
          <w:bCs/>
          <w:color w:val="000000" w:themeColor="text1"/>
        </w:rPr>
        <w:t xml:space="preserve">wyłonienia </w:t>
      </w:r>
      <w:proofErr w:type="spellStart"/>
      <w:r w:rsidR="009F3F83" w:rsidRPr="00086416">
        <w:rPr>
          <w:rFonts w:cstheme="minorHAnsi"/>
          <w:bCs/>
          <w:color w:val="000000" w:themeColor="text1"/>
        </w:rPr>
        <w:t>Grantobiorców</w:t>
      </w:r>
      <w:proofErr w:type="spellEnd"/>
      <w:r w:rsidR="009F3F83" w:rsidRPr="00086416">
        <w:rPr>
          <w:rFonts w:cstheme="minorHAnsi"/>
          <w:bCs/>
          <w:color w:val="000000" w:themeColor="text1"/>
        </w:rPr>
        <w:t xml:space="preserve"> na podstawie dokonanej oceny punktowej i założonych kryteriów (wg. podziału  na 16 województw oraz 7 zakresów edukacji włączającej).</w:t>
      </w:r>
    </w:p>
    <w:p w14:paraId="1AB80CEA" w14:textId="77777777" w:rsidR="00D67B41" w:rsidRPr="00086416" w:rsidRDefault="00D67B41" w:rsidP="008D5384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cstheme="minorHAnsi"/>
          <w:bCs/>
          <w:color w:val="000000" w:themeColor="text1"/>
        </w:rPr>
      </w:pPr>
      <w:r w:rsidRPr="00086416">
        <w:rPr>
          <w:rFonts w:cstheme="minorHAnsi"/>
          <w:bCs/>
          <w:color w:val="000000" w:themeColor="text1"/>
        </w:rPr>
        <w:t>Przewiduje się zainteresowanie na poziomie 30-50 złożonych ofert. </w:t>
      </w:r>
    </w:p>
    <w:p w14:paraId="21D42535" w14:textId="77777777" w:rsidR="00D67B41" w:rsidRPr="00086416" w:rsidRDefault="00D67B41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bCs/>
          <w:color w:val="000000" w:themeColor="text1"/>
        </w:rPr>
      </w:pPr>
      <w:r w:rsidRPr="00086416">
        <w:rPr>
          <w:rFonts w:cstheme="minorHAnsi"/>
          <w:bCs/>
          <w:color w:val="000000" w:themeColor="text1"/>
        </w:rPr>
        <w:t xml:space="preserve">Zakłada się, że w trakcie realizacji </w:t>
      </w:r>
      <w:r w:rsidR="00623F44" w:rsidRPr="00086416">
        <w:rPr>
          <w:rFonts w:cstheme="minorHAnsi"/>
          <w:bCs/>
          <w:color w:val="000000" w:themeColor="text1"/>
        </w:rPr>
        <w:t xml:space="preserve">projektu </w:t>
      </w:r>
      <w:r w:rsidRPr="00086416">
        <w:rPr>
          <w:rFonts w:cstheme="minorHAnsi"/>
          <w:bCs/>
          <w:color w:val="000000" w:themeColor="text1"/>
        </w:rPr>
        <w:t xml:space="preserve">każdy </w:t>
      </w:r>
      <w:proofErr w:type="spellStart"/>
      <w:r w:rsidRPr="00086416">
        <w:rPr>
          <w:rFonts w:cstheme="minorHAnsi"/>
          <w:bCs/>
          <w:color w:val="000000" w:themeColor="text1"/>
        </w:rPr>
        <w:t>Grantobiorca</w:t>
      </w:r>
      <w:proofErr w:type="spellEnd"/>
      <w:r w:rsidRPr="00086416">
        <w:rPr>
          <w:rFonts w:cstheme="minorHAnsi"/>
          <w:bCs/>
          <w:color w:val="000000" w:themeColor="text1"/>
        </w:rPr>
        <w:t xml:space="preserve"> będzie zobowiązany do złożenia </w:t>
      </w:r>
      <w:r w:rsidR="00623F44" w:rsidRPr="00086416">
        <w:rPr>
          <w:rFonts w:cstheme="minorHAnsi"/>
          <w:bCs/>
          <w:color w:val="000000" w:themeColor="text1"/>
        </w:rPr>
        <w:t xml:space="preserve">min. </w:t>
      </w:r>
      <w:r w:rsidRPr="00086416">
        <w:rPr>
          <w:rFonts w:cstheme="minorHAnsi"/>
          <w:bCs/>
          <w:color w:val="000000" w:themeColor="text1"/>
        </w:rPr>
        <w:t>8 sprawozdań kwartalnych.</w:t>
      </w:r>
    </w:p>
    <w:p w14:paraId="00392A82" w14:textId="65819BC3" w:rsidR="00C03A15" w:rsidRPr="008D5384" w:rsidRDefault="00D67B41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bCs/>
          <w:color w:val="000000" w:themeColor="text1"/>
        </w:rPr>
      </w:pPr>
      <w:r w:rsidRPr="00086416">
        <w:rPr>
          <w:rFonts w:cstheme="minorHAnsi"/>
          <w:bCs/>
          <w:color w:val="000000" w:themeColor="text1"/>
        </w:rPr>
        <w:t xml:space="preserve">Zakres współpracy – 26 miesięcy (realizacja 24 m-ce wniosków + 2 miesiące na </w:t>
      </w:r>
      <w:r w:rsidRPr="008D5384">
        <w:rPr>
          <w:rFonts w:cstheme="minorHAnsi"/>
          <w:color w:val="222222"/>
        </w:rPr>
        <w:t>rozliczenie procedury (np. korekty sprawozdań, wygenerowanie końcowego raportu</w:t>
      </w:r>
      <w:r w:rsidR="0056486F" w:rsidRPr="008D5384">
        <w:rPr>
          <w:rFonts w:cstheme="minorHAnsi"/>
          <w:color w:val="222222"/>
        </w:rPr>
        <w:t xml:space="preserve">, archiwizacja </w:t>
      </w:r>
      <w:r w:rsidR="0056486F" w:rsidRPr="008D5384">
        <w:rPr>
          <w:rFonts w:cstheme="minorHAnsi"/>
          <w:color w:val="000000" w:themeColor="text1"/>
        </w:rPr>
        <w:t>i przekazanie zarchiwizowanych danych</w:t>
      </w:r>
      <w:r w:rsidR="009F3F83" w:rsidRPr="008D5384">
        <w:rPr>
          <w:rFonts w:cstheme="minorHAnsi"/>
          <w:color w:val="000000" w:themeColor="text1"/>
        </w:rPr>
        <w:t>)</w:t>
      </w:r>
      <w:r w:rsidR="005E62FF" w:rsidRPr="008D5384">
        <w:rPr>
          <w:rFonts w:cstheme="minorHAnsi"/>
          <w:color w:val="000000" w:themeColor="text1"/>
        </w:rPr>
        <w:t xml:space="preserve">. </w:t>
      </w:r>
      <w:r w:rsidR="005E62FF" w:rsidRPr="008D5384">
        <w:rPr>
          <w:rFonts w:cstheme="minorHAnsi"/>
        </w:rPr>
        <w:t xml:space="preserve">W sytuacji wymagającej wydłużenia terminu </w:t>
      </w:r>
      <w:r w:rsidR="005C4E8B" w:rsidRPr="008D5384">
        <w:rPr>
          <w:rFonts w:cstheme="minorHAnsi"/>
        </w:rPr>
        <w:t>realizacji</w:t>
      </w:r>
      <w:r w:rsidR="005E62FF" w:rsidRPr="008D5384">
        <w:rPr>
          <w:rFonts w:cstheme="minorHAnsi"/>
        </w:rPr>
        <w:t xml:space="preserve"> projektu, </w:t>
      </w:r>
      <w:r w:rsidR="005C4E8B" w:rsidRPr="008D5384">
        <w:rPr>
          <w:rFonts w:cstheme="minorHAnsi"/>
        </w:rPr>
        <w:t>Zamawiający przewiduje wydłużenie realizacji świadczenia usługi</w:t>
      </w:r>
      <w:r w:rsidR="005C4E8B" w:rsidRPr="008D5384">
        <w:rPr>
          <w:rFonts w:cstheme="minorHAnsi"/>
          <w:color w:val="FF0000"/>
        </w:rPr>
        <w:t xml:space="preserve">. </w:t>
      </w:r>
      <w:r w:rsidR="005E62FF" w:rsidRPr="008D5384">
        <w:rPr>
          <w:rFonts w:cstheme="minorHAnsi"/>
          <w:color w:val="FF0000"/>
        </w:rPr>
        <w:t xml:space="preserve"> </w:t>
      </w:r>
      <w:r w:rsidR="00C03A15" w:rsidRPr="008D5384">
        <w:rPr>
          <w:rFonts w:cstheme="minorHAnsi"/>
          <w:color w:val="FF0000"/>
        </w:rPr>
        <w:t xml:space="preserve"> </w:t>
      </w:r>
    </w:p>
    <w:p w14:paraId="4D35A958" w14:textId="48F04140" w:rsidR="00D67B41" w:rsidRPr="00086416" w:rsidRDefault="00C03A15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color w:val="222222"/>
        </w:rPr>
      </w:pPr>
      <w:r w:rsidRPr="00086416">
        <w:rPr>
          <w:rFonts w:cstheme="minorHAnsi"/>
          <w:color w:val="222222"/>
        </w:rPr>
        <w:t>Archiwizację dokumentacji powstałej w trakcie realizacji usług, tj. etap aplikowania, prowadzonej korespondencji, etap monitorowania i sprawozdawczości z postępu projektów.</w:t>
      </w:r>
    </w:p>
    <w:p w14:paraId="59E342EE" w14:textId="2F626F12" w:rsidR="009F3F83" w:rsidRPr="00086416" w:rsidRDefault="009F3F83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color w:val="222222"/>
        </w:rPr>
      </w:pPr>
      <w:r w:rsidRPr="00086416">
        <w:rPr>
          <w:rFonts w:cstheme="minorHAnsi"/>
          <w:color w:val="222222"/>
        </w:rPr>
        <w:t xml:space="preserve">Archiwizacja </w:t>
      </w:r>
      <w:r w:rsidR="00715480" w:rsidRPr="00086416">
        <w:rPr>
          <w:rFonts w:cstheme="minorHAnsi"/>
          <w:color w:val="222222"/>
        </w:rPr>
        <w:t xml:space="preserve">dokumentacji projektu powstałej na każdym z etapów </w:t>
      </w:r>
      <w:r w:rsidRPr="00086416">
        <w:rPr>
          <w:rFonts w:cstheme="minorHAnsi"/>
          <w:color w:val="222222"/>
        </w:rPr>
        <w:t xml:space="preserve">musi być zgodny z przepisami prawa oraz wewnętrznych instrukcji dot. archiwizacji w ORE. W szczególności na etapie Archiwizacji Wykonawca powinien zapewnić pełen Eksport umożliwiający przeglądanie poszczególnych danych dotyczących naborów, historia wniosków (według statusów), udzielonych grantów, umów i ich rozliczeń, komunikacji </w:t>
      </w:r>
      <w:r w:rsidR="008D5384">
        <w:rPr>
          <w:rFonts w:cstheme="minorHAnsi"/>
          <w:color w:val="222222"/>
        </w:rPr>
        <w:t xml:space="preserve">pomiędzy użytkownikami do formy i formatu </w:t>
      </w:r>
      <w:r w:rsidRPr="00086416">
        <w:rPr>
          <w:rFonts w:cstheme="minorHAnsi"/>
          <w:color w:val="222222"/>
        </w:rPr>
        <w:t>ustalonego z Zamawiającym.</w:t>
      </w:r>
    </w:p>
    <w:p w14:paraId="44041356" w14:textId="6CE0C02E" w:rsidR="009F3F83" w:rsidRPr="00086416" w:rsidRDefault="009F3F83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color w:val="222222"/>
        </w:rPr>
      </w:pPr>
      <w:r w:rsidRPr="00086416">
        <w:rPr>
          <w:rFonts w:cstheme="minorHAnsi"/>
          <w:color w:val="222222"/>
        </w:rPr>
        <w:t xml:space="preserve">Archiwizacja </w:t>
      </w:r>
      <w:r w:rsidR="00715480" w:rsidRPr="00086416">
        <w:rPr>
          <w:rFonts w:cstheme="minorHAnsi"/>
          <w:color w:val="222222"/>
        </w:rPr>
        <w:t xml:space="preserve">dokumentacji projektu powstałej na każdym z etapów </w:t>
      </w:r>
      <w:r w:rsidRPr="00086416">
        <w:rPr>
          <w:rFonts w:cstheme="minorHAnsi"/>
          <w:color w:val="222222"/>
        </w:rPr>
        <w:t>umożliwia pracownikowi ORE z odpowiednimi uprawnieniami przeglądanie zarchiwizowanych dokumentów i dostęp do nich.</w:t>
      </w:r>
    </w:p>
    <w:p w14:paraId="1EAE7ACC" w14:textId="6C07D42E" w:rsidR="00D67B41" w:rsidRPr="00086416" w:rsidRDefault="00D67B41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bCs/>
          <w:color w:val="000000" w:themeColor="text1"/>
        </w:rPr>
      </w:pPr>
      <w:r w:rsidRPr="00086416">
        <w:rPr>
          <w:rFonts w:cstheme="minorHAnsi"/>
          <w:color w:val="222222"/>
        </w:rPr>
        <w:t>Szkolenie/instruktaż</w:t>
      </w:r>
      <w:r w:rsidR="009F3F83" w:rsidRPr="00086416">
        <w:rPr>
          <w:rFonts w:cstheme="minorHAnsi"/>
          <w:color w:val="222222"/>
        </w:rPr>
        <w:t>/spotkań roboczych</w:t>
      </w:r>
      <w:r w:rsidRPr="00086416">
        <w:rPr>
          <w:rFonts w:cstheme="minorHAnsi"/>
          <w:color w:val="222222"/>
        </w:rPr>
        <w:t xml:space="preserve"> umożliwiający pracownikom projektu </w:t>
      </w:r>
      <w:r w:rsidR="00CC6308" w:rsidRPr="00086416">
        <w:rPr>
          <w:rFonts w:cstheme="minorHAnsi"/>
          <w:color w:val="222222"/>
        </w:rPr>
        <w:br/>
      </w:r>
      <w:r w:rsidRPr="00086416">
        <w:rPr>
          <w:rFonts w:cstheme="minorHAnsi"/>
          <w:color w:val="222222"/>
        </w:rPr>
        <w:t xml:space="preserve">i </w:t>
      </w:r>
      <w:proofErr w:type="spellStart"/>
      <w:r w:rsidR="0056486F" w:rsidRPr="00086416">
        <w:rPr>
          <w:rFonts w:cstheme="minorHAnsi"/>
          <w:color w:val="222222"/>
        </w:rPr>
        <w:t>G</w:t>
      </w:r>
      <w:r w:rsidRPr="00086416">
        <w:rPr>
          <w:rFonts w:cstheme="minorHAnsi"/>
          <w:color w:val="222222"/>
        </w:rPr>
        <w:t>rantobiorcom</w:t>
      </w:r>
      <w:proofErr w:type="spellEnd"/>
      <w:r w:rsidR="00CC6308" w:rsidRPr="00086416">
        <w:rPr>
          <w:rFonts w:cstheme="minorHAnsi"/>
          <w:color w:val="222222"/>
        </w:rPr>
        <w:t xml:space="preserve"> </w:t>
      </w:r>
      <w:r w:rsidRPr="00086416">
        <w:rPr>
          <w:rFonts w:cstheme="minorHAnsi"/>
          <w:color w:val="222222"/>
        </w:rPr>
        <w:t>korzystani</w:t>
      </w:r>
      <w:r w:rsidR="00CC6308" w:rsidRPr="00086416">
        <w:rPr>
          <w:rFonts w:cstheme="minorHAnsi"/>
          <w:color w:val="222222"/>
        </w:rPr>
        <w:t xml:space="preserve">e </w:t>
      </w:r>
      <w:r w:rsidRPr="00086416">
        <w:rPr>
          <w:rFonts w:cstheme="minorHAnsi"/>
          <w:color w:val="222222"/>
        </w:rPr>
        <w:t>z narzędzia lub dostęp do obsługi klienta</w:t>
      </w:r>
      <w:r w:rsidRPr="00086416">
        <w:rPr>
          <w:rFonts w:cstheme="minorHAnsi"/>
          <w:bCs/>
          <w:color w:val="000000" w:themeColor="text1"/>
        </w:rPr>
        <w:t xml:space="preserve"> użytkowego. </w:t>
      </w:r>
    </w:p>
    <w:p w14:paraId="26A9B82E" w14:textId="5C838A42" w:rsidR="00D67B41" w:rsidRPr="00086416" w:rsidRDefault="00D67B41" w:rsidP="008D5384">
      <w:pPr>
        <w:pStyle w:val="Akapitzlist"/>
        <w:numPr>
          <w:ilvl w:val="0"/>
          <w:numId w:val="23"/>
        </w:numPr>
        <w:spacing w:after="0"/>
        <w:ind w:left="284" w:hanging="284"/>
        <w:rPr>
          <w:rFonts w:cstheme="minorHAnsi"/>
          <w:bCs/>
          <w:color w:val="000000" w:themeColor="text1"/>
        </w:rPr>
      </w:pPr>
      <w:r w:rsidRPr="00086416">
        <w:rPr>
          <w:rFonts w:cstheme="minorHAnsi"/>
          <w:bCs/>
          <w:color w:val="000000" w:themeColor="text1"/>
        </w:rPr>
        <w:t xml:space="preserve">Możliwość odpowiedniego oznakowania programu (finansowanie z UE, logo ORE). Zgodnie </w:t>
      </w:r>
      <w:r w:rsidR="00E37AEA" w:rsidRPr="00086416">
        <w:rPr>
          <w:rFonts w:cstheme="minorHAnsi"/>
          <w:bCs/>
          <w:color w:val="000000" w:themeColor="text1"/>
        </w:rPr>
        <w:br/>
      </w:r>
      <w:r w:rsidRPr="00086416">
        <w:rPr>
          <w:rFonts w:cstheme="minorHAnsi"/>
          <w:bCs/>
          <w:color w:val="000000" w:themeColor="text1"/>
        </w:rPr>
        <w:t>z wytycznymi dot. zasad promocji i oznakowania projektów w POWER (</w:t>
      </w:r>
      <w:hyperlink r:id="rId9" w:history="1">
        <w:r w:rsidR="0056486F" w:rsidRPr="00086416">
          <w:rPr>
            <w:rStyle w:val="Hipercze"/>
            <w:rFonts w:cstheme="minorHAnsi"/>
            <w:bCs/>
          </w:rPr>
          <w:t>https://www.power.gov.pl/strony/o-programie/promocja/zasady-promocji-i-oznakowania-projektow/</w:t>
        </w:r>
      </w:hyperlink>
      <w:r w:rsidRPr="00086416">
        <w:rPr>
          <w:rFonts w:cstheme="minorHAnsi"/>
          <w:bCs/>
          <w:color w:val="000000" w:themeColor="text1"/>
        </w:rPr>
        <w:t>)</w:t>
      </w:r>
      <w:r w:rsidR="0056486F" w:rsidRPr="00086416">
        <w:rPr>
          <w:rFonts w:cstheme="minorHAnsi"/>
          <w:bCs/>
          <w:color w:val="000000" w:themeColor="text1"/>
        </w:rPr>
        <w:t xml:space="preserve">, oraz oczekiwania </w:t>
      </w:r>
      <w:r w:rsidR="00590274" w:rsidRPr="00086416">
        <w:rPr>
          <w:rFonts w:cstheme="minorHAnsi"/>
          <w:bCs/>
          <w:color w:val="000000" w:themeColor="text1"/>
        </w:rPr>
        <w:t>Zamawiającego.</w:t>
      </w:r>
    </w:p>
    <w:p w14:paraId="4CA92BED" w14:textId="1D233A33" w:rsidR="007E30FB" w:rsidRPr="00361CE4" w:rsidRDefault="009F3F83" w:rsidP="003D3018">
      <w:pPr>
        <w:pStyle w:val="Akapitzlist"/>
        <w:numPr>
          <w:ilvl w:val="0"/>
          <w:numId w:val="23"/>
        </w:numPr>
        <w:spacing w:after="960"/>
        <w:ind w:left="284" w:hanging="284"/>
        <w:rPr>
          <w:rFonts w:cstheme="minorHAnsi"/>
          <w:bCs/>
          <w:color w:val="000000" w:themeColor="text1"/>
        </w:rPr>
      </w:pPr>
      <w:r w:rsidRPr="00086416">
        <w:rPr>
          <w:rFonts w:cstheme="minorHAnsi"/>
          <w:bCs/>
          <w:color w:val="000000" w:themeColor="text1"/>
        </w:rPr>
        <w:t>Udostępniony system musi być w pełni zgodny z wymaganiami WCAG 2.1. na poziomie AA określonymi w tabeli załączonej do ustawy (Ustawa z dnia 4 kwietnia 2019 r. o dostępności cyfrowej stron internetowych i aplikacji mobilnych podmiotów publicznych (Dz.U. 2019 poz. 848).</w:t>
      </w:r>
    </w:p>
    <w:p w14:paraId="1106EE67" w14:textId="625EE1DD" w:rsidR="00D67B41" w:rsidRPr="00086416" w:rsidRDefault="001859F5" w:rsidP="001859F5">
      <w:pPr>
        <w:spacing w:after="240"/>
        <w:jc w:val="both"/>
        <w:rPr>
          <w:rFonts w:eastAsia="Times New Roman" w:cstheme="minorHAnsi"/>
          <w:b/>
          <w:lang w:eastAsia="pl-PL"/>
        </w:rPr>
      </w:pPr>
      <w:r w:rsidRPr="00086416">
        <w:rPr>
          <w:rFonts w:eastAsia="Times New Roman" w:cstheme="minorHAnsi"/>
          <w:lang w:eastAsia="pl-PL"/>
        </w:rPr>
        <w:lastRenderedPageBreak/>
        <w:t>Usługa będzie realizowana</w:t>
      </w:r>
      <w:r w:rsidRPr="00086416">
        <w:rPr>
          <w:rFonts w:eastAsia="Times New Roman" w:cstheme="minorHAnsi"/>
          <w:b/>
          <w:lang w:eastAsia="pl-PL"/>
        </w:rPr>
        <w:t xml:space="preserve"> w okresie </w:t>
      </w:r>
      <w:r w:rsidR="004746D2" w:rsidRPr="00086416">
        <w:rPr>
          <w:rFonts w:cstheme="minorHAnsi"/>
          <w:b/>
        </w:rPr>
        <w:t>26 m-</w:t>
      </w:r>
      <w:proofErr w:type="spellStart"/>
      <w:r w:rsidR="004746D2" w:rsidRPr="00086416">
        <w:rPr>
          <w:rFonts w:cstheme="minorHAnsi"/>
          <w:b/>
        </w:rPr>
        <w:t>cy</w:t>
      </w:r>
      <w:proofErr w:type="spellEnd"/>
      <w:r w:rsidR="004746D2" w:rsidRPr="00086416">
        <w:rPr>
          <w:rFonts w:cstheme="minorHAnsi"/>
        </w:rPr>
        <w:t xml:space="preserve"> </w:t>
      </w:r>
      <w:r w:rsidRPr="00086416">
        <w:rPr>
          <w:rFonts w:cstheme="minorHAnsi"/>
        </w:rPr>
        <w:t>–</w:t>
      </w:r>
      <w:r w:rsidR="004746D2" w:rsidRPr="00086416">
        <w:rPr>
          <w:rFonts w:cstheme="minorHAnsi"/>
        </w:rPr>
        <w:t xml:space="preserve"> </w:t>
      </w:r>
      <w:r w:rsidRPr="00086416">
        <w:rPr>
          <w:rFonts w:cstheme="minorHAnsi"/>
        </w:rPr>
        <w:t>tj. od dnia podpi</w:t>
      </w:r>
      <w:r w:rsidR="00724A94" w:rsidRPr="00086416">
        <w:rPr>
          <w:rFonts w:cstheme="minorHAnsi"/>
        </w:rPr>
        <w:t>s</w:t>
      </w:r>
      <w:r w:rsidRPr="00086416">
        <w:rPr>
          <w:rFonts w:cstheme="minorHAnsi"/>
        </w:rPr>
        <w:t xml:space="preserve">ania umowy </w:t>
      </w:r>
      <w:r w:rsidRPr="00086416">
        <w:rPr>
          <w:rFonts w:cstheme="minorHAnsi"/>
          <w:b/>
        </w:rPr>
        <w:t>do 31.05.2023 r.</w:t>
      </w:r>
      <w:r w:rsidRPr="00086416">
        <w:rPr>
          <w:rFonts w:cstheme="minorHAnsi"/>
        </w:rPr>
        <w:t xml:space="preserve"> Terminarz</w:t>
      </w:r>
      <w:r w:rsidR="00724A94" w:rsidRPr="00086416">
        <w:rPr>
          <w:rFonts w:cstheme="minorHAnsi"/>
        </w:rPr>
        <w:t xml:space="preserve"> poszczególnych etapów:</w:t>
      </w:r>
      <w:r w:rsidR="00D67B41" w:rsidRPr="00086416">
        <w:rPr>
          <w:rFonts w:cstheme="minorHAnsi"/>
          <w:b/>
          <w:bCs/>
          <w:color w:val="000000" w:themeColor="text1"/>
        </w:rPr>
        <w:t xml:space="preserve"> </w:t>
      </w:r>
    </w:p>
    <w:p w14:paraId="0102245D" w14:textId="00BD9909" w:rsidR="008C561D" w:rsidRPr="00086416" w:rsidRDefault="008C561D" w:rsidP="003D3018">
      <w:pPr>
        <w:spacing w:after="240"/>
        <w:rPr>
          <w:rFonts w:cstheme="minorHAnsi"/>
          <w:b/>
        </w:rPr>
      </w:pPr>
      <w:r w:rsidRPr="00086416">
        <w:rPr>
          <w:rFonts w:cstheme="minorHAnsi"/>
          <w:b/>
        </w:rPr>
        <w:t>Etap 1</w:t>
      </w:r>
      <w:r w:rsidRPr="00086416">
        <w:rPr>
          <w:rFonts w:cstheme="minorHAnsi"/>
        </w:rPr>
        <w:t xml:space="preserve"> – </w:t>
      </w:r>
      <w:r w:rsidR="00424EDD" w:rsidRPr="00086416">
        <w:rPr>
          <w:rFonts w:cstheme="minorHAnsi"/>
          <w:b/>
        </w:rPr>
        <w:t>do 12</w:t>
      </w:r>
      <w:r w:rsidRPr="00086416">
        <w:rPr>
          <w:rFonts w:cstheme="minorHAnsi"/>
          <w:b/>
        </w:rPr>
        <w:t>.0</w:t>
      </w:r>
      <w:r w:rsidR="00424EDD" w:rsidRPr="00086416">
        <w:rPr>
          <w:rFonts w:cstheme="minorHAnsi"/>
          <w:b/>
        </w:rPr>
        <w:t>2</w:t>
      </w:r>
      <w:r w:rsidRPr="00086416">
        <w:rPr>
          <w:rFonts w:cstheme="minorHAnsi"/>
          <w:b/>
        </w:rPr>
        <w:t>.2021 r.</w:t>
      </w:r>
      <w:r w:rsidRPr="00086416">
        <w:rPr>
          <w:rFonts w:cstheme="minorHAnsi"/>
        </w:rPr>
        <w:t xml:space="preserve"> - uruchomienie formularza wniosku grantowego wraz z instrukcją wypełniania formularza (z uwzględnieniem wcześniejszych faz testowania) oraz przeprowadzenie szkolenia dla wskazanych pracowników ORE i ewentualnie dla potencjalnych </w:t>
      </w:r>
      <w:proofErr w:type="spellStart"/>
      <w:r w:rsidRPr="00086416">
        <w:rPr>
          <w:rFonts w:cstheme="minorHAnsi"/>
        </w:rPr>
        <w:t>Grantobiorców</w:t>
      </w:r>
      <w:proofErr w:type="spellEnd"/>
      <w:r w:rsidRPr="00086416">
        <w:rPr>
          <w:rFonts w:cstheme="minorHAnsi"/>
        </w:rPr>
        <w:t>.</w:t>
      </w:r>
    </w:p>
    <w:p w14:paraId="4A39B311" w14:textId="77777777" w:rsidR="008C561D" w:rsidRPr="00086416" w:rsidRDefault="008C561D" w:rsidP="003D3018">
      <w:pPr>
        <w:spacing w:after="240"/>
        <w:rPr>
          <w:rFonts w:cstheme="minorHAnsi"/>
          <w:b/>
        </w:rPr>
      </w:pPr>
      <w:r w:rsidRPr="00086416">
        <w:rPr>
          <w:rFonts w:cstheme="minorHAnsi"/>
          <w:b/>
        </w:rPr>
        <w:t>Etap 2</w:t>
      </w:r>
      <w:r w:rsidRPr="00086416">
        <w:rPr>
          <w:rFonts w:cstheme="minorHAnsi"/>
        </w:rPr>
        <w:t xml:space="preserve"> – </w:t>
      </w:r>
      <w:r w:rsidRPr="00086416">
        <w:rPr>
          <w:rFonts w:cstheme="minorHAnsi"/>
          <w:b/>
        </w:rPr>
        <w:t xml:space="preserve">do 28.02.2021 r. - </w:t>
      </w:r>
      <w:r w:rsidRPr="00086416">
        <w:rPr>
          <w:rFonts w:cstheme="minorHAnsi"/>
        </w:rPr>
        <w:t xml:space="preserve">uruchomienie arkuszy oceny formalnej i merytorycznej </w:t>
      </w:r>
      <w:r w:rsidRPr="00086416">
        <w:rPr>
          <w:rFonts w:cstheme="minorHAnsi"/>
        </w:rPr>
        <w:br/>
        <w:t>(z uwzględnieniem wcześniejszych faz testowania).</w:t>
      </w:r>
    </w:p>
    <w:p w14:paraId="22975E42" w14:textId="77777777" w:rsidR="008C561D" w:rsidRPr="00086416" w:rsidRDefault="008C561D" w:rsidP="003D3018">
      <w:pPr>
        <w:spacing w:after="240"/>
        <w:rPr>
          <w:rFonts w:cstheme="minorHAnsi"/>
        </w:rPr>
      </w:pPr>
      <w:r w:rsidRPr="00086416">
        <w:rPr>
          <w:rFonts w:cstheme="minorHAnsi"/>
          <w:b/>
        </w:rPr>
        <w:t>Etap 3</w:t>
      </w:r>
      <w:r w:rsidRPr="00086416">
        <w:rPr>
          <w:rFonts w:cstheme="minorHAnsi"/>
        </w:rPr>
        <w:t xml:space="preserve"> – </w:t>
      </w:r>
      <w:r w:rsidRPr="00086416">
        <w:rPr>
          <w:rFonts w:cstheme="minorHAnsi"/>
          <w:b/>
        </w:rPr>
        <w:t>do 29.03.2021 r.</w:t>
      </w:r>
      <w:r w:rsidRPr="00086416">
        <w:rPr>
          <w:rFonts w:cstheme="minorHAnsi"/>
        </w:rPr>
        <w:t xml:space="preserve"> - uruchomienie formularza wzoru umowy i sprawozdania. </w:t>
      </w:r>
    </w:p>
    <w:p w14:paraId="2407C911" w14:textId="32345337" w:rsidR="008C561D" w:rsidRPr="00086416" w:rsidRDefault="008C561D" w:rsidP="003D3018">
      <w:pPr>
        <w:spacing w:after="240"/>
        <w:rPr>
          <w:rFonts w:cstheme="minorHAnsi"/>
        </w:rPr>
      </w:pPr>
      <w:r w:rsidRPr="00086416">
        <w:rPr>
          <w:rFonts w:cstheme="minorHAnsi"/>
          <w:b/>
        </w:rPr>
        <w:t xml:space="preserve">Etap 4 </w:t>
      </w:r>
      <w:r w:rsidRPr="00086416">
        <w:rPr>
          <w:rFonts w:cstheme="minorHAnsi"/>
        </w:rPr>
        <w:t xml:space="preserve">– </w:t>
      </w:r>
      <w:r w:rsidRPr="00086416">
        <w:rPr>
          <w:rFonts w:cstheme="minorHAnsi"/>
          <w:b/>
        </w:rPr>
        <w:t xml:space="preserve">od uruchomienia naboru do zakończenia naboru (od 01.04.2021 r. do 30.04.2023 r.) </w:t>
      </w:r>
      <w:r w:rsidRPr="00086416">
        <w:rPr>
          <w:rFonts w:cstheme="minorHAnsi"/>
          <w:b/>
        </w:rPr>
        <w:br/>
      </w:r>
      <w:r w:rsidRPr="00086416">
        <w:rPr>
          <w:rFonts w:cstheme="minorHAnsi"/>
        </w:rPr>
        <w:t xml:space="preserve">– dostęp do w pełni funkcjonalnego narzędzia informatycznego dla Zamawiającego </w:t>
      </w:r>
      <w:r w:rsidRPr="00086416">
        <w:rPr>
          <w:rFonts w:cstheme="minorHAnsi"/>
        </w:rPr>
        <w:br/>
        <w:t xml:space="preserve">i </w:t>
      </w:r>
      <w:proofErr w:type="spellStart"/>
      <w:r w:rsidRPr="00086416">
        <w:rPr>
          <w:rFonts w:cstheme="minorHAnsi"/>
        </w:rPr>
        <w:t>Grantobiorców</w:t>
      </w:r>
      <w:proofErr w:type="spellEnd"/>
      <w:r w:rsidRPr="00086416">
        <w:rPr>
          <w:rFonts w:cstheme="minorHAnsi"/>
        </w:rPr>
        <w:t>.</w:t>
      </w:r>
    </w:p>
    <w:p w14:paraId="4035AB58" w14:textId="218ADC8D" w:rsidR="00FB4F71" w:rsidRPr="00361CE4" w:rsidRDefault="008C561D" w:rsidP="003D3018">
      <w:pPr>
        <w:rPr>
          <w:rFonts w:cstheme="minorHAnsi"/>
        </w:rPr>
      </w:pPr>
      <w:r w:rsidRPr="00086416">
        <w:rPr>
          <w:rFonts w:cstheme="minorHAnsi"/>
          <w:b/>
        </w:rPr>
        <w:t>Etap 5 – do 17.05.2023 r. (max do 2 tygodni przed upływem zakończenia realizacji umowy</w:t>
      </w:r>
      <w:r w:rsidRPr="00086416">
        <w:rPr>
          <w:rFonts w:cstheme="minorHAnsi"/>
        </w:rPr>
        <w:t xml:space="preserve"> - przekazanie zarchiwizowanej w systemie dokumentacji projektu. </w:t>
      </w:r>
    </w:p>
    <w:p w14:paraId="65FB1DB7" w14:textId="126420A9" w:rsidR="00BE2F03" w:rsidRPr="00361CE4" w:rsidRDefault="00BE2F03" w:rsidP="00361CE4">
      <w:pPr>
        <w:pStyle w:val="Akapitzlist"/>
        <w:numPr>
          <w:ilvl w:val="0"/>
          <w:numId w:val="29"/>
        </w:numPr>
        <w:jc w:val="both"/>
        <w:rPr>
          <w:rFonts w:eastAsia="Calibri" w:cstheme="minorHAnsi"/>
          <w:b/>
        </w:rPr>
      </w:pPr>
      <w:r w:rsidRPr="00361CE4">
        <w:rPr>
          <w:rFonts w:eastAsia="Calibri" w:cstheme="minorHAnsi"/>
          <w:b/>
        </w:rPr>
        <w:t>Wymagania związane z wykonaniem</w:t>
      </w:r>
      <w:r w:rsidR="008A15BB" w:rsidRPr="00361CE4">
        <w:rPr>
          <w:rFonts w:eastAsia="Calibri" w:cstheme="minorHAnsi"/>
          <w:b/>
        </w:rPr>
        <w:t xml:space="preserve"> zamówienia:</w:t>
      </w:r>
    </w:p>
    <w:p w14:paraId="6DAFF202" w14:textId="77777777" w:rsidR="00E37AEA" w:rsidRPr="00086416" w:rsidRDefault="00E37AEA" w:rsidP="003D3018">
      <w:pPr>
        <w:spacing w:after="120" w:line="256" w:lineRule="auto"/>
        <w:jc w:val="both"/>
        <w:rPr>
          <w:rFonts w:eastAsia="Calibri" w:cstheme="minorHAnsi"/>
        </w:rPr>
      </w:pPr>
      <w:r w:rsidRPr="00086416">
        <w:rPr>
          <w:rFonts w:eastAsia="Calibri" w:cstheme="minorHAnsi"/>
        </w:rPr>
        <w:t>O udzielenie Zamówienia mogą ubiegać się Wykonawcy, którzy spełniają warunki, dotyczące:</w:t>
      </w:r>
    </w:p>
    <w:p w14:paraId="11E43296" w14:textId="77777777" w:rsidR="00E37AEA" w:rsidRPr="00086416" w:rsidRDefault="00E37AEA" w:rsidP="00E832F8">
      <w:pPr>
        <w:numPr>
          <w:ilvl w:val="0"/>
          <w:numId w:val="25"/>
        </w:numPr>
        <w:spacing w:after="120"/>
        <w:rPr>
          <w:rFonts w:eastAsia="Calibri" w:cstheme="minorHAnsi"/>
        </w:rPr>
      </w:pPr>
      <w:r w:rsidRPr="00086416">
        <w:rPr>
          <w:rFonts w:eastAsia="Calibri" w:cstheme="minorHAnsi"/>
        </w:rPr>
        <w:t>posiadania uprawnień do wykonywania określonej działalności lub czynności, jeżeli przepisy prawa nakładają obowiązek ich posiadania – Zamawiający nie ustanawia w tym zakresie szczegółowych wymagań, których spełnienie będzie musiał wykazać Wykonawca;</w:t>
      </w:r>
    </w:p>
    <w:p w14:paraId="7A7561B5" w14:textId="77777777" w:rsidR="00E37AEA" w:rsidRPr="00086416" w:rsidRDefault="00E37AEA" w:rsidP="00E832F8">
      <w:pPr>
        <w:numPr>
          <w:ilvl w:val="0"/>
          <w:numId w:val="25"/>
        </w:numPr>
        <w:spacing w:after="120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posiadania wiedzy i doświadczenia ─ warunek zostanie uznany za spełniony, jeżeli Wykonawca przedstawi min. 3 referencje w obszarze świadczenia usługi zgodnej z zapytaniem ofertowym. Zamawiający zapewni sobie możliwość zweryfikowania przesłanych </w:t>
      </w:r>
      <w:r w:rsidR="005A07D7" w:rsidRPr="00086416">
        <w:rPr>
          <w:rFonts w:eastAsia="Calibri" w:cstheme="minorHAnsi"/>
        </w:rPr>
        <w:t>referencji.</w:t>
      </w:r>
    </w:p>
    <w:p w14:paraId="043245F5" w14:textId="1C6942F1" w:rsidR="00E37AEA" w:rsidRPr="00086416" w:rsidRDefault="00E37AEA" w:rsidP="00E832F8">
      <w:pPr>
        <w:numPr>
          <w:ilvl w:val="0"/>
          <w:numId w:val="25"/>
        </w:numPr>
        <w:spacing w:after="120"/>
        <w:rPr>
          <w:rFonts w:eastAsia="Calibri" w:cstheme="minorHAnsi"/>
        </w:rPr>
      </w:pPr>
      <w:r w:rsidRPr="00086416">
        <w:rPr>
          <w:rFonts w:eastAsia="Calibri" w:cstheme="minorHAnsi"/>
        </w:rPr>
        <w:t>dysponowania odpowiednim potencjałem technicznym oraz osobami zdolnymi do wykonania Zamówienia ─ Zamawiający nie ustanawia w tym zakresie szczegółowych wymagań, których spełnienie będzie musiał wykazać Wykonawca</w:t>
      </w:r>
      <w:r w:rsidR="0056486F" w:rsidRPr="00086416">
        <w:rPr>
          <w:rFonts w:eastAsia="Calibri" w:cstheme="minorHAnsi"/>
        </w:rPr>
        <w:t>.</w:t>
      </w:r>
    </w:p>
    <w:p w14:paraId="69334622" w14:textId="1CC7AB54" w:rsidR="00E37AEA" w:rsidRPr="00361CE4" w:rsidRDefault="00E37AEA" w:rsidP="003D3018">
      <w:pPr>
        <w:numPr>
          <w:ilvl w:val="0"/>
          <w:numId w:val="25"/>
        </w:numPr>
        <w:spacing w:after="240"/>
        <w:rPr>
          <w:rFonts w:eastAsia="Calibri" w:cstheme="minorHAnsi"/>
        </w:rPr>
      </w:pPr>
      <w:r w:rsidRPr="00086416">
        <w:rPr>
          <w:rFonts w:eastAsia="Calibri" w:cstheme="minorHAnsi"/>
        </w:rPr>
        <w:t>sytuacji ekonomicznej i finansowej – Zamawiający nie ustanawia w tym zakresie szczegółowych wymagań, których spełnienie będzie musiał wykazać Wykonawca.</w:t>
      </w:r>
    </w:p>
    <w:p w14:paraId="6F167F6F" w14:textId="1B69E5FC" w:rsidR="00BE2F03" w:rsidRPr="00361CE4" w:rsidRDefault="00EB7E86" w:rsidP="00361CE4">
      <w:pPr>
        <w:pStyle w:val="Akapitzlist"/>
        <w:numPr>
          <w:ilvl w:val="0"/>
          <w:numId w:val="29"/>
        </w:numPr>
        <w:rPr>
          <w:rFonts w:eastAsia="Calibri" w:cstheme="minorHAnsi"/>
        </w:rPr>
      </w:pPr>
      <w:r w:rsidRPr="00361CE4">
        <w:rPr>
          <w:rFonts w:eastAsia="Calibri" w:cstheme="minorHAnsi"/>
          <w:b/>
        </w:rPr>
        <w:t>Wymogi dotyczące składa</w:t>
      </w:r>
      <w:bookmarkStart w:id="0" w:name="_GoBack"/>
      <w:bookmarkEnd w:id="0"/>
      <w:r w:rsidRPr="00361CE4">
        <w:rPr>
          <w:rFonts w:eastAsia="Calibri" w:cstheme="minorHAnsi"/>
          <w:b/>
        </w:rPr>
        <w:t>nia ofert</w:t>
      </w:r>
    </w:p>
    <w:p w14:paraId="65728688" w14:textId="77777777" w:rsidR="00361CE4" w:rsidRDefault="000E2BFA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>Treść oferty musi odpowiadać treści zapytania ofertowego.</w:t>
      </w:r>
    </w:p>
    <w:p w14:paraId="5481CB36" w14:textId="77777777" w:rsidR="00361CE4" w:rsidRDefault="007E579F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</w:rPr>
      </w:pPr>
      <w:r w:rsidRPr="00361CE4">
        <w:rPr>
          <w:rFonts w:eastAsia="Calibri" w:cstheme="minorHAnsi"/>
        </w:rPr>
        <w:t>Wykonawca może złożyć jedną ofertę.</w:t>
      </w:r>
    </w:p>
    <w:p w14:paraId="7077E8FB" w14:textId="40CB5B7E" w:rsidR="00EB7E86" w:rsidRPr="00361CE4" w:rsidRDefault="00EB7E86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</w:rPr>
      </w:pPr>
      <w:r w:rsidRPr="00361CE4">
        <w:rPr>
          <w:rFonts w:eastAsia="Calibri" w:cstheme="minorHAnsi"/>
        </w:rPr>
        <w:t xml:space="preserve">Zamawiający nie dopuszcza składania ofert częściowych. </w:t>
      </w:r>
    </w:p>
    <w:p w14:paraId="4028DF24" w14:textId="77777777" w:rsidR="00361CE4" w:rsidRDefault="000E2BFA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Wykonawca może, przed upływem terminu składania ofert, zmienić lub wycofać ofertę. </w:t>
      </w:r>
    </w:p>
    <w:p w14:paraId="64D93CCB" w14:textId="379DC8DA" w:rsidR="00B05764" w:rsidRPr="00B05764" w:rsidRDefault="000E2BFA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</w:rPr>
      </w:pPr>
      <w:r w:rsidRPr="00361CE4">
        <w:rPr>
          <w:rFonts w:eastAsia="Calibri" w:cstheme="minorHAnsi"/>
          <w:b/>
        </w:rPr>
        <w:t>Ofertę należy złożyć w formie skanu</w:t>
      </w:r>
      <w:r w:rsidR="00EB7E86" w:rsidRPr="00361CE4">
        <w:rPr>
          <w:rFonts w:eastAsia="Calibri" w:cstheme="minorHAnsi"/>
          <w:b/>
        </w:rPr>
        <w:t xml:space="preserve"> formularza ofertowego stanowiącego załącznik nr </w:t>
      </w:r>
      <w:r w:rsidR="007A69A3" w:rsidRPr="00361CE4">
        <w:rPr>
          <w:rFonts w:eastAsia="Calibri" w:cstheme="minorHAnsi"/>
          <w:b/>
        </w:rPr>
        <w:t>2</w:t>
      </w:r>
      <w:r w:rsidR="00EB7E86" w:rsidRPr="00361CE4">
        <w:rPr>
          <w:rFonts w:eastAsia="Calibri" w:cstheme="minorHAnsi"/>
          <w:b/>
        </w:rPr>
        <w:t xml:space="preserve"> do zapytania ofertowego</w:t>
      </w:r>
      <w:r w:rsidRPr="00361CE4">
        <w:rPr>
          <w:rFonts w:eastAsia="Calibri" w:cstheme="minorHAnsi"/>
          <w:b/>
        </w:rPr>
        <w:t xml:space="preserve"> w</w:t>
      </w:r>
      <w:r w:rsidR="00EB7E86" w:rsidRPr="00361CE4">
        <w:rPr>
          <w:rFonts w:eastAsia="Calibri" w:cstheme="minorHAnsi"/>
          <w:b/>
        </w:rPr>
        <w:t xml:space="preserve"> nieprzekraczalnym</w:t>
      </w:r>
      <w:r w:rsidRPr="00361CE4">
        <w:rPr>
          <w:rFonts w:eastAsia="Calibri" w:cstheme="minorHAnsi"/>
          <w:b/>
        </w:rPr>
        <w:t xml:space="preserve"> terminie </w:t>
      </w:r>
      <w:r w:rsidRPr="00BF412D">
        <w:rPr>
          <w:rFonts w:eastAsia="Calibri" w:cstheme="minorHAnsi"/>
          <w:b/>
        </w:rPr>
        <w:t xml:space="preserve">do </w:t>
      </w:r>
      <w:r w:rsidR="006753DD" w:rsidRPr="00BF412D">
        <w:rPr>
          <w:rFonts w:eastAsia="Calibri" w:cstheme="minorHAnsi"/>
          <w:b/>
        </w:rPr>
        <w:t>2</w:t>
      </w:r>
      <w:r w:rsidR="0031512D">
        <w:rPr>
          <w:rFonts w:eastAsia="Calibri" w:cstheme="minorHAnsi"/>
          <w:b/>
        </w:rPr>
        <w:t>5</w:t>
      </w:r>
      <w:r w:rsidR="00771141" w:rsidRPr="00BF412D">
        <w:rPr>
          <w:rFonts w:eastAsia="Calibri" w:cstheme="minorHAnsi"/>
          <w:b/>
        </w:rPr>
        <w:t>.</w:t>
      </w:r>
      <w:r w:rsidR="00590274" w:rsidRPr="00BF412D">
        <w:rPr>
          <w:rFonts w:eastAsia="Calibri" w:cstheme="minorHAnsi"/>
          <w:b/>
        </w:rPr>
        <w:t>01</w:t>
      </w:r>
      <w:r w:rsidR="00CE17EE" w:rsidRPr="00BF412D">
        <w:rPr>
          <w:rFonts w:eastAsia="Calibri" w:cstheme="minorHAnsi"/>
          <w:b/>
        </w:rPr>
        <w:t>.20</w:t>
      </w:r>
      <w:r w:rsidR="009270FF" w:rsidRPr="00BF412D">
        <w:rPr>
          <w:rFonts w:eastAsia="Calibri" w:cstheme="minorHAnsi"/>
          <w:b/>
        </w:rPr>
        <w:t>2</w:t>
      </w:r>
      <w:r w:rsidR="00590274" w:rsidRPr="00BF412D">
        <w:rPr>
          <w:rFonts w:eastAsia="Calibri" w:cstheme="minorHAnsi"/>
          <w:b/>
        </w:rPr>
        <w:t>1</w:t>
      </w:r>
      <w:r w:rsidR="0071730A" w:rsidRPr="00BF412D">
        <w:rPr>
          <w:rFonts w:eastAsia="Calibri" w:cstheme="minorHAnsi"/>
          <w:b/>
        </w:rPr>
        <w:t xml:space="preserve"> r. </w:t>
      </w:r>
      <w:r w:rsidR="0071730A">
        <w:rPr>
          <w:rFonts w:eastAsia="Calibri" w:cstheme="minorHAnsi"/>
          <w:b/>
        </w:rPr>
        <w:t xml:space="preserve"> do godziny </w:t>
      </w:r>
      <w:r w:rsidR="0031512D">
        <w:rPr>
          <w:rFonts w:eastAsia="Calibri" w:cstheme="minorHAnsi"/>
          <w:b/>
        </w:rPr>
        <w:t>9:00</w:t>
      </w:r>
      <w:r w:rsidRPr="00361CE4">
        <w:rPr>
          <w:rFonts w:eastAsia="Calibri" w:cstheme="minorHAnsi"/>
          <w:b/>
        </w:rPr>
        <w:t xml:space="preserve"> </w:t>
      </w:r>
    </w:p>
    <w:p w14:paraId="499F2229" w14:textId="0282989C" w:rsidR="00361CE4" w:rsidRDefault="000E2BFA" w:rsidP="003D3018">
      <w:pPr>
        <w:spacing w:after="0"/>
        <w:ind w:left="426"/>
        <w:rPr>
          <w:rFonts w:eastAsia="Calibri" w:cstheme="minorHAnsi"/>
        </w:rPr>
      </w:pPr>
      <w:r w:rsidRPr="00361CE4">
        <w:rPr>
          <w:rFonts w:eastAsia="Calibri" w:cstheme="minorHAnsi"/>
          <w:b/>
        </w:rPr>
        <w:t xml:space="preserve">na adres e-mail: </w:t>
      </w:r>
      <w:hyperlink r:id="rId10" w:history="1">
        <w:r w:rsidR="00CC6308" w:rsidRPr="00361CE4">
          <w:rPr>
            <w:rStyle w:val="Hipercze"/>
            <w:rFonts w:eastAsia="Calibri" w:cstheme="minorHAnsi"/>
          </w:rPr>
          <w:t>ewa.broma-bak</w:t>
        </w:r>
        <w:r w:rsidR="009F3F83" w:rsidRPr="00361CE4">
          <w:rPr>
            <w:rStyle w:val="Hipercze"/>
            <w:rFonts w:eastAsia="Calibri" w:cstheme="minorHAnsi"/>
          </w:rPr>
          <w:t>@ore.edu.pl</w:t>
        </w:r>
      </w:hyperlink>
      <w:r w:rsidR="009F3F83" w:rsidRPr="00361CE4">
        <w:rPr>
          <w:rFonts w:eastAsia="Calibri" w:cstheme="minorHAnsi"/>
        </w:rPr>
        <w:t>,</w:t>
      </w:r>
    </w:p>
    <w:p w14:paraId="189CC877" w14:textId="4C112AAE" w:rsidR="007E579F" w:rsidRPr="00361CE4" w:rsidRDefault="007E579F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</w:rPr>
      </w:pPr>
      <w:r w:rsidRPr="00361CE4">
        <w:rPr>
          <w:rFonts w:eastAsia="Calibri" w:cstheme="minorHAnsi"/>
        </w:rPr>
        <w:lastRenderedPageBreak/>
        <w:t xml:space="preserve">Oferty złożone po terminie wskazanym w </w:t>
      </w:r>
      <w:r w:rsidR="007A69A3" w:rsidRPr="00361CE4">
        <w:rPr>
          <w:rFonts w:eastAsia="Calibri" w:cstheme="minorHAnsi"/>
        </w:rPr>
        <w:t>ust</w:t>
      </w:r>
      <w:r w:rsidRPr="00361CE4">
        <w:rPr>
          <w:rFonts w:eastAsia="Calibri" w:cstheme="minorHAnsi"/>
        </w:rPr>
        <w:t xml:space="preserve">. </w:t>
      </w:r>
      <w:r w:rsidR="007A69A3" w:rsidRPr="00361CE4">
        <w:rPr>
          <w:rFonts w:eastAsia="Calibri" w:cstheme="minorHAnsi"/>
        </w:rPr>
        <w:t>5</w:t>
      </w:r>
      <w:r w:rsidRPr="00361CE4">
        <w:rPr>
          <w:rFonts w:eastAsia="Calibri" w:cstheme="minorHAnsi"/>
        </w:rPr>
        <w:t xml:space="preserve"> nie zostaną rozpatrzone.</w:t>
      </w:r>
    </w:p>
    <w:p w14:paraId="51C32A90" w14:textId="77777777" w:rsidR="000E2BFA" w:rsidRPr="00086416" w:rsidRDefault="000E2BFA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086416">
        <w:rPr>
          <w:rFonts w:eastAsia="Calibri" w:cstheme="minorHAnsi"/>
        </w:rPr>
        <w:t>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14:paraId="1C54CE9E" w14:textId="77777777" w:rsidR="009E0F36" w:rsidRDefault="000E2BFA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 xml:space="preserve">Wykonawca zobowiązany jest do prawidłowego wypełnienia formularza oferty poprzez wpisanie wymaganych danych lub odpowiednie skreślenie lub zaznaczenie. Niedopuszczalne jest wykreślanie, usuwanie bądź zmiana treści oświadczeń zawartych </w:t>
      </w:r>
      <w:r w:rsidRPr="00086416">
        <w:rPr>
          <w:rFonts w:eastAsia="Calibri" w:cstheme="minorHAnsi"/>
          <w:b/>
        </w:rPr>
        <w:br/>
        <w:t xml:space="preserve">w formularzu. </w:t>
      </w:r>
    </w:p>
    <w:p w14:paraId="2FC89ECD" w14:textId="77777777" w:rsidR="00B05764" w:rsidRDefault="007E579F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  <w:b/>
        </w:rPr>
      </w:pPr>
      <w:r w:rsidRPr="009E0F36">
        <w:rPr>
          <w:rFonts w:cstheme="minorHAnsi"/>
          <w:szCs w:val="20"/>
        </w:rPr>
        <w:t>Cena</w:t>
      </w:r>
      <w:r w:rsidRPr="009E0F36">
        <w:rPr>
          <w:rFonts w:cstheme="minorHAnsi"/>
        </w:rPr>
        <w:t xml:space="preserve"> </w:t>
      </w:r>
      <w:r w:rsidRPr="009E0F36">
        <w:rPr>
          <w:rFonts w:cstheme="minorHAnsi"/>
          <w:szCs w:val="20"/>
        </w:rPr>
        <w:t>oferty</w:t>
      </w:r>
      <w:r w:rsidRPr="009E0F36">
        <w:rPr>
          <w:rFonts w:cstheme="minorHAnsi"/>
        </w:rPr>
        <w:t xml:space="preserve"> musi zawierać wszystkie koszty związane z realizacją przedmiotu zamówienia</w:t>
      </w:r>
      <w:r w:rsidRPr="009E0F36">
        <w:rPr>
          <w:rFonts w:cstheme="minorHAnsi"/>
          <w:b/>
          <w:szCs w:val="20"/>
        </w:rPr>
        <w:t>.</w:t>
      </w:r>
    </w:p>
    <w:p w14:paraId="7FC7E681" w14:textId="39CAAFD7" w:rsidR="000E2BFA" w:rsidRPr="00B05764" w:rsidRDefault="000E2BFA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  <w:b/>
        </w:rPr>
      </w:pPr>
      <w:r w:rsidRPr="00B05764">
        <w:rPr>
          <w:rFonts w:eastAsia="Calibri" w:cstheme="minorHAnsi"/>
        </w:rPr>
        <w:t>Zamawiający może dokonać poprawek w ofercie wyłącznie tych, które dotyczą:</w:t>
      </w:r>
    </w:p>
    <w:p w14:paraId="32E2E936" w14:textId="77777777" w:rsidR="000E2BFA" w:rsidRPr="00086416" w:rsidRDefault="004D0874" w:rsidP="003D3018">
      <w:pPr>
        <w:numPr>
          <w:ilvl w:val="0"/>
          <w:numId w:val="12"/>
        </w:numPr>
        <w:spacing w:after="0" w:line="240" w:lineRule="auto"/>
        <w:ind w:left="938" w:hanging="357"/>
        <w:contextualSpacing/>
        <w:rPr>
          <w:rFonts w:eastAsia="Calibri" w:cstheme="minorHAnsi"/>
        </w:rPr>
      </w:pPr>
      <w:r w:rsidRPr="00086416">
        <w:rPr>
          <w:rFonts w:eastAsia="Calibri" w:cstheme="minorHAnsi"/>
        </w:rPr>
        <w:t>o</w:t>
      </w:r>
      <w:r w:rsidR="000E2BFA" w:rsidRPr="00086416">
        <w:rPr>
          <w:rFonts w:eastAsia="Calibri" w:cstheme="minorHAnsi"/>
        </w:rPr>
        <w:t>czywistych</w:t>
      </w:r>
      <w:r w:rsidRPr="00086416">
        <w:rPr>
          <w:rFonts w:eastAsia="Calibri" w:cstheme="minorHAnsi"/>
        </w:rPr>
        <w:t xml:space="preserve"> </w:t>
      </w:r>
      <w:r w:rsidR="000E2BFA" w:rsidRPr="00086416">
        <w:rPr>
          <w:rFonts w:eastAsia="Calibri" w:cstheme="minorHAnsi"/>
        </w:rPr>
        <w:t xml:space="preserve">omyłek pisarskich; </w:t>
      </w:r>
    </w:p>
    <w:p w14:paraId="46198A51" w14:textId="77777777" w:rsidR="000E2BFA" w:rsidRPr="00086416" w:rsidRDefault="004D0874" w:rsidP="003D3018">
      <w:pPr>
        <w:numPr>
          <w:ilvl w:val="0"/>
          <w:numId w:val="12"/>
        </w:numPr>
        <w:spacing w:after="0" w:line="240" w:lineRule="auto"/>
        <w:ind w:left="938" w:hanging="357"/>
        <w:contextualSpacing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oczywistych </w:t>
      </w:r>
      <w:r w:rsidR="000E2BFA" w:rsidRPr="00086416">
        <w:rPr>
          <w:rFonts w:eastAsia="Calibri" w:cstheme="minorHAnsi"/>
        </w:rPr>
        <w:t xml:space="preserve">omyłek rachunkowych, z uwzględnieniem konsekwencji rachunkowych dokonanych poprawek; </w:t>
      </w:r>
    </w:p>
    <w:p w14:paraId="5CDC2D20" w14:textId="77777777" w:rsidR="000E2BFA" w:rsidRPr="00086416" w:rsidRDefault="000E2BFA" w:rsidP="003D3018">
      <w:pPr>
        <w:numPr>
          <w:ilvl w:val="0"/>
          <w:numId w:val="12"/>
        </w:numPr>
        <w:spacing w:after="0" w:line="240" w:lineRule="auto"/>
        <w:ind w:left="938" w:hanging="357"/>
        <w:contextualSpacing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innych omyłek polegających na niezgodności oferty z zapytaniem ofertowym, niepowodujących istotnych zmian w treści oferty. </w:t>
      </w:r>
    </w:p>
    <w:p w14:paraId="05BC0D74" w14:textId="77777777" w:rsidR="000E2BFA" w:rsidRPr="00086416" w:rsidRDefault="000E2BFA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Zamawiający informuje Wykonawców o poprawieniu omyłek wskazanych w </w:t>
      </w:r>
      <w:r w:rsidR="007A69A3" w:rsidRPr="00086416">
        <w:rPr>
          <w:rFonts w:eastAsia="Calibri" w:cstheme="minorHAnsi"/>
        </w:rPr>
        <w:t>ust</w:t>
      </w:r>
      <w:r w:rsidRPr="00086416">
        <w:rPr>
          <w:rFonts w:eastAsia="Calibri" w:cstheme="minorHAnsi"/>
        </w:rPr>
        <w:t xml:space="preserve"> </w:t>
      </w:r>
      <w:r w:rsidR="007E579F" w:rsidRPr="00086416">
        <w:rPr>
          <w:rFonts w:eastAsia="Calibri" w:cstheme="minorHAnsi"/>
        </w:rPr>
        <w:t>10</w:t>
      </w:r>
      <w:r w:rsidRPr="00086416">
        <w:rPr>
          <w:rFonts w:eastAsia="Calibri" w:cstheme="minorHAnsi"/>
        </w:rPr>
        <w:t>.</w:t>
      </w:r>
    </w:p>
    <w:p w14:paraId="1A5CD30A" w14:textId="77777777" w:rsidR="000E2BFA" w:rsidRPr="00086416" w:rsidRDefault="000E2BFA" w:rsidP="003D3018">
      <w:pPr>
        <w:numPr>
          <w:ilvl w:val="0"/>
          <w:numId w:val="11"/>
        </w:numPr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Zamawiający odrzuca ofertę lub wniosek, w szczególności jeżeli: </w:t>
      </w:r>
    </w:p>
    <w:p w14:paraId="7618ED70" w14:textId="77777777" w:rsidR="000E2BFA" w:rsidRPr="00086416" w:rsidRDefault="000E2BFA" w:rsidP="003D3018">
      <w:pPr>
        <w:numPr>
          <w:ilvl w:val="0"/>
          <w:numId w:val="13"/>
        </w:numPr>
        <w:spacing w:after="160" w:line="256" w:lineRule="auto"/>
        <w:ind w:left="910"/>
        <w:contextualSpacing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jej treść nie odpowiada treści zapytania ofertowego; </w:t>
      </w:r>
    </w:p>
    <w:p w14:paraId="3559D47B" w14:textId="77777777" w:rsidR="000E2BFA" w:rsidRPr="00086416" w:rsidRDefault="000E2BFA" w:rsidP="003D3018">
      <w:pPr>
        <w:numPr>
          <w:ilvl w:val="0"/>
          <w:numId w:val="13"/>
        </w:numPr>
        <w:spacing w:after="160" w:line="256" w:lineRule="auto"/>
        <w:ind w:left="910"/>
        <w:contextualSpacing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jej złożenie stanowi czyn nieuczciwej konkurencji w rozumieniu przepisów o zwalczaniu nieuczciwej konkurencji; </w:t>
      </w:r>
    </w:p>
    <w:p w14:paraId="523930A6" w14:textId="77777777" w:rsidR="000E2BFA" w:rsidRPr="00086416" w:rsidRDefault="000E2BFA" w:rsidP="003D3018">
      <w:pPr>
        <w:numPr>
          <w:ilvl w:val="0"/>
          <w:numId w:val="13"/>
        </w:numPr>
        <w:spacing w:after="160" w:line="256" w:lineRule="auto"/>
        <w:ind w:left="910"/>
        <w:contextualSpacing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została złożona przez Wykonawcę wykluczonego z udziału w postępowaniu o udzielenie zamówienia; </w:t>
      </w:r>
    </w:p>
    <w:p w14:paraId="770C3275" w14:textId="77777777" w:rsidR="000E2BFA" w:rsidRPr="00086416" w:rsidRDefault="000E2BFA" w:rsidP="003D3018">
      <w:pPr>
        <w:numPr>
          <w:ilvl w:val="0"/>
          <w:numId w:val="13"/>
        </w:numPr>
        <w:spacing w:after="160" w:line="256" w:lineRule="auto"/>
        <w:ind w:left="910"/>
        <w:contextualSpacing/>
        <w:rPr>
          <w:rFonts w:eastAsia="Calibri" w:cstheme="minorHAnsi"/>
        </w:rPr>
      </w:pPr>
      <w:r w:rsidRPr="00086416">
        <w:rPr>
          <w:rFonts w:eastAsia="Calibri" w:cstheme="minorHAnsi"/>
        </w:rPr>
        <w:t>Wykonawca w terminie 3 dni od dnia doręczenia zawiadomienia zgłosił sprzeciw</w:t>
      </w:r>
      <w:r w:rsidRPr="00086416">
        <w:rPr>
          <w:rFonts w:eastAsia="Calibri" w:cstheme="minorHAnsi"/>
        </w:rPr>
        <w:br/>
        <w:t xml:space="preserve">na poprawienie omyłki, o której mowa w </w:t>
      </w:r>
      <w:r w:rsidR="007A69A3" w:rsidRPr="00086416">
        <w:rPr>
          <w:rFonts w:eastAsia="Calibri" w:cstheme="minorHAnsi"/>
        </w:rPr>
        <w:t>ust</w:t>
      </w:r>
      <w:r w:rsidRPr="00086416">
        <w:rPr>
          <w:rFonts w:eastAsia="Calibri" w:cstheme="minorHAnsi"/>
        </w:rPr>
        <w:t xml:space="preserve"> </w:t>
      </w:r>
      <w:r w:rsidR="007E579F" w:rsidRPr="00086416">
        <w:rPr>
          <w:rFonts w:eastAsia="Calibri" w:cstheme="minorHAnsi"/>
        </w:rPr>
        <w:t>10</w:t>
      </w:r>
      <w:r w:rsidRPr="00086416">
        <w:rPr>
          <w:rFonts w:eastAsia="Calibri" w:cstheme="minorHAnsi"/>
        </w:rPr>
        <w:t xml:space="preserve"> pkt. 3) powyżej;</w:t>
      </w:r>
    </w:p>
    <w:p w14:paraId="29F8B0C2" w14:textId="77777777" w:rsidR="000E2BFA" w:rsidRPr="00086416" w:rsidRDefault="000E2BFA" w:rsidP="003D3018">
      <w:pPr>
        <w:numPr>
          <w:ilvl w:val="0"/>
          <w:numId w:val="13"/>
        </w:numPr>
        <w:spacing w:after="0" w:line="256" w:lineRule="auto"/>
        <w:ind w:left="910"/>
        <w:contextualSpacing/>
        <w:rPr>
          <w:rFonts w:eastAsia="Calibri" w:cstheme="minorHAnsi"/>
        </w:rPr>
      </w:pPr>
      <w:r w:rsidRPr="00086416">
        <w:rPr>
          <w:rFonts w:eastAsia="Calibri" w:cstheme="minorHAnsi"/>
        </w:rPr>
        <w:t>ceny złożonych ofert dodatkowych są takie same;</w:t>
      </w:r>
    </w:p>
    <w:p w14:paraId="44A1DEDD" w14:textId="77777777" w:rsidR="007E579F" w:rsidRPr="00086416" w:rsidRDefault="000E2BFA" w:rsidP="003D3018">
      <w:pPr>
        <w:numPr>
          <w:ilvl w:val="0"/>
          <w:numId w:val="13"/>
        </w:numPr>
        <w:spacing w:after="0" w:line="256" w:lineRule="auto"/>
        <w:ind w:left="910"/>
        <w:contextualSpacing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jest niezgodna z innymi przepisami prawa. </w:t>
      </w:r>
    </w:p>
    <w:p w14:paraId="30CA4906" w14:textId="77777777" w:rsidR="001B74E9" w:rsidRDefault="000E2BFA" w:rsidP="003D3018">
      <w:pPr>
        <w:pStyle w:val="Akapitzlist"/>
        <w:numPr>
          <w:ilvl w:val="0"/>
          <w:numId w:val="11"/>
        </w:numPr>
        <w:tabs>
          <w:tab w:val="left" w:pos="-7371"/>
        </w:tabs>
        <w:spacing w:after="0" w:line="256" w:lineRule="auto"/>
        <w:ind w:left="426" w:hanging="426"/>
        <w:rPr>
          <w:rFonts w:eastAsia="Calibri" w:cstheme="minorHAnsi"/>
        </w:rPr>
      </w:pPr>
      <w:r w:rsidRPr="001B74E9">
        <w:rPr>
          <w:rFonts w:eastAsia="Calibri" w:cstheme="minorHAnsi"/>
        </w:rPr>
        <w:t>Zamawiający bada złożone oferty pod względem ich zgodności z wymaganiami określonymi</w:t>
      </w:r>
      <w:r w:rsidR="001B74E9">
        <w:rPr>
          <w:rFonts w:eastAsia="Calibri" w:cstheme="minorHAnsi"/>
        </w:rPr>
        <w:t xml:space="preserve"> </w:t>
      </w:r>
      <w:r w:rsidRPr="001B74E9">
        <w:rPr>
          <w:rFonts w:eastAsia="Calibri" w:cstheme="minorHAnsi"/>
        </w:rPr>
        <w:t>w zapytaniu ofertowym.</w:t>
      </w:r>
    </w:p>
    <w:p w14:paraId="625446CF" w14:textId="77777777" w:rsidR="001B74E9" w:rsidRDefault="000E2BFA" w:rsidP="003D3018">
      <w:pPr>
        <w:pStyle w:val="Akapitzlist"/>
        <w:numPr>
          <w:ilvl w:val="0"/>
          <w:numId w:val="11"/>
        </w:numPr>
        <w:tabs>
          <w:tab w:val="left" w:pos="-7371"/>
        </w:tabs>
        <w:spacing w:after="0" w:line="256" w:lineRule="auto"/>
        <w:ind w:left="426" w:hanging="426"/>
        <w:rPr>
          <w:rFonts w:eastAsia="Calibri" w:cstheme="minorHAnsi"/>
        </w:rPr>
      </w:pPr>
      <w:r w:rsidRPr="001B74E9">
        <w:rPr>
          <w:rFonts w:eastAsia="Calibri" w:cstheme="minorHAnsi"/>
        </w:rPr>
        <w:t xml:space="preserve">Zamawiający przewiduje możliwość w pierwszej kolejności dokonania oceny ofert, </w:t>
      </w:r>
      <w:r w:rsidRPr="001B74E9">
        <w:rPr>
          <w:rFonts w:eastAsia="Calibri" w:cstheme="minorHAnsi"/>
        </w:rPr>
        <w:br/>
        <w:t xml:space="preserve">a następnie zbadania czy Wykonawca, którego oferta została oceniona jako najkorzystniejsza nie podlega wykluczeniu oraz spełnia warunki udziału w postępowaniu, jeżeli zamawiający </w:t>
      </w:r>
      <w:r w:rsidRPr="001B74E9">
        <w:rPr>
          <w:rFonts w:eastAsia="Calibri" w:cstheme="minorHAnsi"/>
        </w:rPr>
        <w:br/>
        <w:t>w zapytaniu określił przesłanki wykluczenia oraz określił warunki udziału w postępowaniu.</w:t>
      </w:r>
    </w:p>
    <w:p w14:paraId="44C60E81" w14:textId="77777777" w:rsidR="001B74E9" w:rsidRDefault="007E579F" w:rsidP="003D3018">
      <w:pPr>
        <w:pStyle w:val="Akapitzlist"/>
        <w:numPr>
          <w:ilvl w:val="0"/>
          <w:numId w:val="11"/>
        </w:numPr>
        <w:tabs>
          <w:tab w:val="left" w:pos="-7371"/>
        </w:tabs>
        <w:spacing w:after="0" w:line="256" w:lineRule="auto"/>
        <w:ind w:left="426" w:hanging="426"/>
        <w:rPr>
          <w:rFonts w:eastAsia="Calibri" w:cstheme="minorHAnsi"/>
        </w:rPr>
      </w:pPr>
      <w:r w:rsidRPr="001B74E9">
        <w:rPr>
          <w:rFonts w:eastAsia="Calibri" w:cstheme="minorHAnsi"/>
        </w:rPr>
        <w:t>Wykonawca ponosi wszelkie koszty związane z przygotowaniem oferty.</w:t>
      </w:r>
    </w:p>
    <w:p w14:paraId="3D7CC15A" w14:textId="55D8B852" w:rsidR="00DB72EA" w:rsidRPr="00D825BB" w:rsidRDefault="007E579F" w:rsidP="003D3018">
      <w:pPr>
        <w:pStyle w:val="Akapitzlist"/>
        <w:numPr>
          <w:ilvl w:val="0"/>
          <w:numId w:val="11"/>
        </w:numPr>
        <w:tabs>
          <w:tab w:val="left" w:pos="-7371"/>
        </w:tabs>
        <w:spacing w:after="240" w:line="257" w:lineRule="auto"/>
        <w:ind w:left="426" w:hanging="426"/>
        <w:contextualSpacing w:val="0"/>
        <w:rPr>
          <w:rFonts w:eastAsia="Calibri" w:cstheme="minorHAnsi"/>
        </w:rPr>
      </w:pPr>
      <w:r w:rsidRPr="001B74E9">
        <w:rPr>
          <w:rFonts w:eastAsia="Calibri" w:cstheme="minorHAnsi"/>
        </w:rPr>
        <w:t>Termin związania Wykonawcy ofertą wynosi 30 dni od terminu wskazanego w ust. 5.</w:t>
      </w:r>
    </w:p>
    <w:p w14:paraId="76128032" w14:textId="23AE94BC" w:rsidR="00BE2F03" w:rsidRPr="001B74E9" w:rsidRDefault="00BE2F03" w:rsidP="00D825BB">
      <w:pPr>
        <w:pStyle w:val="Akapitzlist"/>
        <w:numPr>
          <w:ilvl w:val="0"/>
          <w:numId w:val="29"/>
        </w:numPr>
        <w:spacing w:before="120"/>
        <w:ind w:left="714" w:hanging="357"/>
        <w:contextualSpacing w:val="0"/>
        <w:rPr>
          <w:rFonts w:eastAsia="Calibri" w:cstheme="minorHAnsi"/>
          <w:b/>
        </w:rPr>
      </w:pPr>
      <w:r w:rsidRPr="001B74E9">
        <w:rPr>
          <w:rFonts w:eastAsia="Calibri" w:cstheme="minorHAnsi"/>
          <w:b/>
        </w:rPr>
        <w:t xml:space="preserve">Kryterium oceny ofert: </w:t>
      </w:r>
    </w:p>
    <w:p w14:paraId="3ECCEA96" w14:textId="422201BC" w:rsidR="007E579F" w:rsidRPr="00086416" w:rsidRDefault="007E579F" w:rsidP="003D3018">
      <w:pPr>
        <w:pStyle w:val="Akapitzlist"/>
        <w:numPr>
          <w:ilvl w:val="3"/>
          <w:numId w:val="16"/>
        </w:numPr>
        <w:ind w:left="284" w:hanging="284"/>
        <w:rPr>
          <w:rFonts w:eastAsia="Calibri" w:cstheme="minorHAnsi"/>
          <w:b/>
          <w:bCs/>
        </w:rPr>
      </w:pPr>
      <w:r w:rsidRPr="00086416">
        <w:rPr>
          <w:rFonts w:eastAsia="Calibri" w:cstheme="minorHAnsi"/>
        </w:rPr>
        <w:t xml:space="preserve">Przy wyborze oferty najkorzystniejszej Zamawiający będzie stosował następujące kryteria i ich wagi: </w:t>
      </w:r>
      <w:r w:rsidRPr="00086416">
        <w:rPr>
          <w:rFonts w:eastAsia="Calibri" w:cstheme="minorHAnsi"/>
          <w:b/>
          <w:bCs/>
        </w:rPr>
        <w:t>cena – 100%</w:t>
      </w:r>
    </w:p>
    <w:p w14:paraId="56505009" w14:textId="58426391" w:rsidR="007E579F" w:rsidRPr="00086416" w:rsidRDefault="007E579F" w:rsidP="003D3018">
      <w:pPr>
        <w:pStyle w:val="Akapitzlist"/>
        <w:numPr>
          <w:ilvl w:val="3"/>
          <w:numId w:val="16"/>
        </w:numPr>
        <w:ind w:left="284" w:hanging="284"/>
        <w:rPr>
          <w:rFonts w:eastAsia="Calibri" w:cstheme="minorHAnsi"/>
          <w:bCs/>
        </w:rPr>
      </w:pPr>
      <w:r w:rsidRPr="00086416">
        <w:rPr>
          <w:rFonts w:eastAsia="Calibri" w:cstheme="minorHAnsi"/>
          <w:bCs/>
        </w:rPr>
        <w:lastRenderedPageBreak/>
        <w:t xml:space="preserve">Kryterium </w:t>
      </w:r>
      <w:r w:rsidRPr="00086416">
        <w:rPr>
          <w:rFonts w:eastAsia="Calibri" w:cstheme="minorHAnsi"/>
          <w:b/>
          <w:bCs/>
        </w:rPr>
        <w:t xml:space="preserve">Cena (C) </w:t>
      </w:r>
      <w:r w:rsidRPr="00086416">
        <w:rPr>
          <w:rFonts w:eastAsia="Calibri" w:cstheme="minorHAnsi"/>
          <w:bCs/>
        </w:rPr>
        <w:t>będzie oceniane na pod</w:t>
      </w:r>
      <w:r w:rsidR="003D3018">
        <w:rPr>
          <w:rFonts w:eastAsia="Calibri" w:cstheme="minorHAnsi"/>
          <w:bCs/>
        </w:rPr>
        <w:t xml:space="preserve">stawie podanej przez Wykonawcę </w:t>
      </w:r>
      <w:r w:rsidRPr="00086416">
        <w:rPr>
          <w:rFonts w:eastAsia="Calibri" w:cstheme="minorHAnsi"/>
          <w:bCs/>
        </w:rPr>
        <w:t>w ofercie ceny brutto wykonania zamówienia. Ocena punktowa w ramach kryterium zostanie dokonana zgodnie ze wzorem:</w:t>
      </w:r>
    </w:p>
    <w:p w14:paraId="621B576A" w14:textId="77777777" w:rsidR="007E579F" w:rsidRPr="00086416" w:rsidRDefault="007E579F" w:rsidP="007E579F">
      <w:pPr>
        <w:jc w:val="center"/>
        <w:rPr>
          <w:rFonts w:cstheme="minorHAnsi"/>
          <w:color w:val="000000"/>
        </w:rPr>
      </w:pPr>
      <w:proofErr w:type="spellStart"/>
      <w:r w:rsidRPr="00086416">
        <w:rPr>
          <w:rFonts w:cstheme="minorHAnsi"/>
        </w:rPr>
        <w:t>Cn</w:t>
      </w:r>
      <w:proofErr w:type="spellEnd"/>
    </w:p>
    <w:p w14:paraId="4DF557CC" w14:textId="77777777" w:rsidR="007E579F" w:rsidRPr="00086416" w:rsidRDefault="007E579F" w:rsidP="007E579F">
      <w:pPr>
        <w:spacing w:before="120" w:after="120"/>
        <w:ind w:left="284"/>
        <w:jc w:val="center"/>
        <w:rPr>
          <w:rFonts w:cstheme="minorHAnsi"/>
        </w:rPr>
      </w:pPr>
      <w:r w:rsidRPr="00086416">
        <w:rPr>
          <w:rFonts w:cstheme="minorHAnsi"/>
        </w:rPr>
        <w:t>C = ---------------------- x 100 pkt</w:t>
      </w:r>
    </w:p>
    <w:p w14:paraId="5836023A" w14:textId="77777777" w:rsidR="007E579F" w:rsidRPr="00086416" w:rsidRDefault="007E579F" w:rsidP="007E579F">
      <w:pPr>
        <w:spacing w:before="120" w:after="120"/>
        <w:jc w:val="center"/>
        <w:rPr>
          <w:rFonts w:cstheme="minorHAnsi"/>
        </w:rPr>
      </w:pPr>
      <w:proofErr w:type="spellStart"/>
      <w:r w:rsidRPr="00086416">
        <w:rPr>
          <w:rFonts w:cstheme="minorHAnsi"/>
        </w:rPr>
        <w:t>Cb</w:t>
      </w:r>
      <w:proofErr w:type="spellEnd"/>
    </w:p>
    <w:p w14:paraId="2B005219" w14:textId="77777777" w:rsidR="007E579F" w:rsidRPr="00086416" w:rsidRDefault="007E579F" w:rsidP="007E579F">
      <w:pPr>
        <w:ind w:left="434"/>
        <w:rPr>
          <w:rFonts w:eastAsia="Calibri" w:cstheme="minorHAnsi"/>
          <w:bCs/>
        </w:rPr>
      </w:pPr>
      <w:r w:rsidRPr="00086416">
        <w:rPr>
          <w:rFonts w:eastAsia="Calibri" w:cstheme="minorHAnsi"/>
          <w:bCs/>
        </w:rPr>
        <w:t>Gdzie:</w:t>
      </w:r>
    </w:p>
    <w:p w14:paraId="465A598E" w14:textId="77777777" w:rsidR="007E579F" w:rsidRPr="00086416" w:rsidRDefault="007E579F" w:rsidP="007E579F">
      <w:pPr>
        <w:ind w:left="434"/>
        <w:rPr>
          <w:rFonts w:eastAsia="Calibri" w:cstheme="minorHAnsi"/>
          <w:bCs/>
        </w:rPr>
      </w:pPr>
      <w:r w:rsidRPr="00086416">
        <w:rPr>
          <w:rFonts w:eastAsia="Calibri" w:cstheme="minorHAnsi"/>
          <w:bCs/>
        </w:rPr>
        <w:t>C – liczba punktów przyznanych ocenianej ofercie za podaną cenę brutto,</w:t>
      </w:r>
    </w:p>
    <w:p w14:paraId="132A7993" w14:textId="77777777" w:rsidR="007E579F" w:rsidRPr="00086416" w:rsidRDefault="007E579F" w:rsidP="007E579F">
      <w:pPr>
        <w:ind w:left="434"/>
        <w:rPr>
          <w:rFonts w:eastAsia="Calibri" w:cstheme="minorHAnsi"/>
          <w:bCs/>
        </w:rPr>
      </w:pPr>
      <w:proofErr w:type="spellStart"/>
      <w:r w:rsidRPr="00086416">
        <w:rPr>
          <w:rFonts w:eastAsia="Calibri" w:cstheme="minorHAnsi"/>
          <w:bCs/>
        </w:rPr>
        <w:t>Cn</w:t>
      </w:r>
      <w:proofErr w:type="spellEnd"/>
      <w:r w:rsidRPr="00086416">
        <w:rPr>
          <w:rFonts w:eastAsia="Calibri" w:cstheme="minorHAnsi"/>
          <w:bCs/>
        </w:rPr>
        <w:t xml:space="preserve"> – najniższa cena brutto wśród ocenianych ofert,</w:t>
      </w:r>
    </w:p>
    <w:p w14:paraId="5F86BFD6" w14:textId="77777777" w:rsidR="007E579F" w:rsidRPr="00086416" w:rsidRDefault="007E579F" w:rsidP="007E579F">
      <w:pPr>
        <w:ind w:left="434"/>
        <w:rPr>
          <w:rFonts w:eastAsia="Calibri" w:cstheme="minorHAnsi"/>
          <w:bCs/>
        </w:rPr>
      </w:pPr>
      <w:proofErr w:type="spellStart"/>
      <w:r w:rsidRPr="00086416">
        <w:rPr>
          <w:rFonts w:eastAsia="Calibri" w:cstheme="minorHAnsi"/>
          <w:bCs/>
        </w:rPr>
        <w:t>Cb</w:t>
      </w:r>
      <w:proofErr w:type="spellEnd"/>
      <w:r w:rsidRPr="00086416">
        <w:rPr>
          <w:rFonts w:eastAsia="Calibri" w:cstheme="minorHAnsi"/>
          <w:bCs/>
        </w:rPr>
        <w:t xml:space="preserve"> – cena brutto ocenianej oferty podana przez danego oferenta.</w:t>
      </w:r>
    </w:p>
    <w:p w14:paraId="4F7A60DD" w14:textId="77777777" w:rsidR="00DB72EA" w:rsidRPr="00086416" w:rsidRDefault="007E579F" w:rsidP="003D3018">
      <w:pPr>
        <w:pStyle w:val="Akapitzlist"/>
        <w:numPr>
          <w:ilvl w:val="3"/>
          <w:numId w:val="16"/>
        </w:numPr>
        <w:spacing w:before="120"/>
        <w:ind w:left="425" w:hanging="357"/>
        <w:contextualSpacing w:val="0"/>
        <w:rPr>
          <w:rFonts w:eastAsia="Calibri" w:cstheme="minorHAnsi"/>
        </w:rPr>
      </w:pPr>
      <w:r w:rsidRPr="00086416">
        <w:rPr>
          <w:rFonts w:eastAsia="Calibri" w:cstheme="minorHAnsi"/>
        </w:rPr>
        <w:t>Zamawiający wybierze ofertę z największą ilością uzyskanych punktów.</w:t>
      </w:r>
    </w:p>
    <w:p w14:paraId="24E2DC3F" w14:textId="0F08E248" w:rsidR="007E579F" w:rsidRPr="00086416" w:rsidRDefault="007E579F" w:rsidP="003D3018">
      <w:pPr>
        <w:pStyle w:val="Akapitzlist"/>
        <w:numPr>
          <w:ilvl w:val="0"/>
          <w:numId w:val="29"/>
        </w:numPr>
        <w:spacing w:before="120"/>
        <w:ind w:left="714" w:hanging="357"/>
        <w:contextualSpacing w:val="0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 xml:space="preserve">Tryb udzielania zamówienia </w:t>
      </w:r>
    </w:p>
    <w:p w14:paraId="2E282E2F" w14:textId="77777777" w:rsidR="007E579F" w:rsidRPr="00086416" w:rsidRDefault="007E579F" w:rsidP="003D3018">
      <w:pPr>
        <w:spacing w:after="240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Postępowanie o udzielanie zamówienia prowadzone jest na podstawie </w:t>
      </w:r>
      <w:r w:rsidRPr="00086416">
        <w:rPr>
          <w:rFonts w:eastAsia="Calibri" w:cstheme="minorHAnsi"/>
          <w:i/>
        </w:rPr>
        <w:t>Regulaminu udzielania zamówień</w:t>
      </w:r>
      <w:r w:rsidR="00EE2B9A" w:rsidRPr="00086416">
        <w:rPr>
          <w:rFonts w:eastAsia="Calibri" w:cstheme="minorHAnsi"/>
          <w:i/>
        </w:rPr>
        <w:t xml:space="preserve"> publicznych</w:t>
      </w:r>
      <w:r w:rsidRPr="00086416">
        <w:rPr>
          <w:rFonts w:eastAsia="Calibri" w:cstheme="minorHAnsi"/>
          <w:i/>
        </w:rPr>
        <w:t xml:space="preserve"> w Ośrodku Rozwoju Edukacji</w:t>
      </w:r>
      <w:r w:rsidR="00EE2B9A" w:rsidRPr="00086416">
        <w:rPr>
          <w:rFonts w:eastAsia="Calibri" w:cstheme="minorHAnsi"/>
          <w:i/>
        </w:rPr>
        <w:t xml:space="preserve"> w Warszawie</w:t>
      </w:r>
      <w:r w:rsidRPr="00086416">
        <w:rPr>
          <w:rFonts w:eastAsia="Calibri" w:cstheme="minorHAnsi"/>
        </w:rPr>
        <w:t>, do których nie stosuje się ustawy Prawo zamówień publicznych.</w:t>
      </w:r>
    </w:p>
    <w:p w14:paraId="56809DFC" w14:textId="4A4EE591" w:rsidR="0066524A" w:rsidRPr="00086416" w:rsidRDefault="0066524A" w:rsidP="003D3018">
      <w:pPr>
        <w:pStyle w:val="Akapitzlist"/>
        <w:numPr>
          <w:ilvl w:val="0"/>
          <w:numId w:val="29"/>
        </w:numPr>
        <w:spacing w:before="120"/>
        <w:ind w:left="714" w:hanging="357"/>
        <w:contextualSpacing w:val="0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>Uwagi końcowe</w:t>
      </w:r>
    </w:p>
    <w:p w14:paraId="1F39AF61" w14:textId="77777777" w:rsidR="0066524A" w:rsidRPr="00086416" w:rsidRDefault="0066524A" w:rsidP="00E832F8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rPr>
          <w:rFonts w:eastAsia="Calibri" w:cstheme="minorHAnsi"/>
        </w:rPr>
      </w:pPr>
      <w:r w:rsidRPr="00086416">
        <w:rPr>
          <w:rFonts w:eastAsia="Calibri" w:cstheme="minorHAnsi"/>
        </w:rPr>
        <w:t>Zamawiający zastrzega sobie prawo do zamknięcia postępowania o udzielenie zamówienia bez podawania przyczyny na każdym etapie postępowania.</w:t>
      </w:r>
    </w:p>
    <w:p w14:paraId="0309E61F" w14:textId="77777777" w:rsidR="0066524A" w:rsidRPr="00086416" w:rsidRDefault="0066524A" w:rsidP="00E832F8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Zamawiający wykluczy z postępowania Wykonawców, którzy nie spełniają warunków udziału </w:t>
      </w:r>
      <w:r w:rsidRPr="00086416">
        <w:rPr>
          <w:rFonts w:eastAsia="Calibri" w:cstheme="minorHAnsi"/>
        </w:rPr>
        <w:br/>
        <w:t>w postępowaniu. Ofertę Wykonawcy wykluczonego z postępowania uznaje się za odrzuconą.</w:t>
      </w:r>
    </w:p>
    <w:p w14:paraId="2DCDEA7C" w14:textId="77777777" w:rsidR="0066524A" w:rsidRPr="00086416" w:rsidRDefault="0066524A" w:rsidP="00E832F8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rPr>
          <w:rFonts w:eastAsia="Calibri" w:cstheme="minorHAnsi"/>
        </w:rPr>
      </w:pPr>
      <w:r w:rsidRPr="00086416">
        <w:rPr>
          <w:rFonts w:eastAsia="Calibri" w:cstheme="minorHAnsi"/>
        </w:rPr>
        <w:t>Wykonawcy uczestniczą w postępowaniu na własne ryzyko i koszt, nie przysługują im żadne roszczenia z tytułu zamknięcia lub unieważnienia postępowania przez Zamawiającego.</w:t>
      </w:r>
    </w:p>
    <w:p w14:paraId="4FA96BDE" w14:textId="77777777" w:rsidR="0066524A" w:rsidRPr="00086416" w:rsidRDefault="0066524A" w:rsidP="00E832F8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Ocena zgodności ofert z wymaganiami Zamawiającego przeprowadzona zostanie na podstawie analizy dokumentów i materiałów, jakie Wykonawca zawarł w swej ofercie. </w:t>
      </w:r>
    </w:p>
    <w:p w14:paraId="499787BA" w14:textId="273E9404" w:rsidR="00DB72EA" w:rsidRPr="003D3018" w:rsidRDefault="0066524A" w:rsidP="00E832F8">
      <w:pPr>
        <w:pStyle w:val="Akapitzlist"/>
        <w:numPr>
          <w:ilvl w:val="0"/>
          <w:numId w:val="17"/>
        </w:numPr>
        <w:spacing w:after="240"/>
        <w:ind w:left="284" w:hanging="284"/>
        <w:contextualSpacing w:val="0"/>
        <w:rPr>
          <w:rFonts w:eastAsia="Calibri" w:cstheme="minorHAnsi"/>
        </w:rPr>
      </w:pPr>
      <w:r w:rsidRPr="00086416">
        <w:rPr>
          <w:rFonts w:eastAsia="Calibri" w:cstheme="minorHAnsi"/>
        </w:rPr>
        <w:t>Zamawiający zastrzega sobie prawo sprawdzania w toku oceny ofert wiarygodności przedstawionych przez Wykonawców dokumentów, wykazów, danych i informacji.</w:t>
      </w:r>
    </w:p>
    <w:p w14:paraId="553EC6E2" w14:textId="2A9D7227" w:rsidR="0066524A" w:rsidRPr="003D3018" w:rsidRDefault="0066524A" w:rsidP="003D3018">
      <w:pPr>
        <w:pStyle w:val="Akapitzlist"/>
        <w:numPr>
          <w:ilvl w:val="0"/>
          <w:numId w:val="29"/>
        </w:numPr>
        <w:spacing w:before="120"/>
        <w:ind w:left="714" w:hanging="357"/>
        <w:contextualSpacing w:val="0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t>Klauzula informacyjna o przetwarzaniu danych osobowych</w:t>
      </w:r>
    </w:p>
    <w:p w14:paraId="64609D8C" w14:textId="77777777" w:rsidR="00C63363" w:rsidRPr="00086416" w:rsidRDefault="00C63363" w:rsidP="003D3018">
      <w:pPr>
        <w:shd w:val="clear" w:color="auto" w:fill="FFFFFF"/>
        <w:spacing w:after="0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Zgodnie z art. 13 ust. 1 i 2 rozporządzenia Parlamentu Europejskiego i Rady (UE) 2016/679 </w:t>
      </w:r>
      <w:r w:rsidRPr="00086416">
        <w:rPr>
          <w:rFonts w:eastAsia="Calibri" w:cstheme="minorHAnsi"/>
        </w:rPr>
        <w:br/>
        <w:t>z dnia 27 kwietnia 2016 r. (Dz. Urz. UE L 119 z 04.05.2016 r.), dalej „RODO”, Ośrodek Rozwoju Edukacji w Warszawie informuje, że:</w:t>
      </w:r>
    </w:p>
    <w:p w14:paraId="6988EEB4" w14:textId="290F0508" w:rsidR="00C63363" w:rsidRPr="00086416" w:rsidRDefault="00C63363" w:rsidP="003D3018">
      <w:pPr>
        <w:shd w:val="clear" w:color="auto" w:fill="FFFFFF"/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lastRenderedPageBreak/>
        <w:t xml:space="preserve">1. </w:t>
      </w:r>
      <w:r w:rsidRPr="00086416">
        <w:rPr>
          <w:rFonts w:eastAsia="Calibri" w:cstheme="minorHAnsi"/>
        </w:rPr>
        <w:tab/>
        <w:t xml:space="preserve">Administratorem danych osobowych Wykonawcy jest minister właściwy do spraw funduszy i polityki regionalnej, pełniący funkcję Instytucji Zarządzającej dla Programu Operacyjnego Wiedza Edukacja Rozwój 2014-2020, z </w:t>
      </w:r>
      <w:r w:rsidR="003D3018">
        <w:rPr>
          <w:rFonts w:eastAsia="Calibri" w:cstheme="minorHAnsi"/>
        </w:rPr>
        <w:t xml:space="preserve">siedzibą przy ul. Wspólnej 2/4 </w:t>
      </w:r>
      <w:r w:rsidRPr="00086416">
        <w:rPr>
          <w:rFonts w:eastAsia="Calibri" w:cstheme="minorHAnsi"/>
        </w:rPr>
        <w:t>w Warszawie (00-926).</w:t>
      </w:r>
    </w:p>
    <w:p w14:paraId="453A7058" w14:textId="77777777" w:rsidR="00C63363" w:rsidRPr="00086416" w:rsidRDefault="00C63363" w:rsidP="003D3018">
      <w:pPr>
        <w:shd w:val="clear" w:color="auto" w:fill="FFFFFF"/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2. </w:t>
      </w:r>
      <w:r w:rsidRPr="00086416">
        <w:rPr>
          <w:rFonts w:eastAsia="Calibri" w:cstheme="minorHAnsi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1" w:history="1">
        <w:r w:rsidRPr="00086416">
          <w:rPr>
            <w:rStyle w:val="Hipercze"/>
            <w:rFonts w:eastAsia="Calibri" w:cstheme="minorHAnsi"/>
          </w:rPr>
          <w:t>iod@ore.edu.pl</w:t>
        </w:r>
      </w:hyperlink>
      <w:r w:rsidRPr="00086416">
        <w:rPr>
          <w:rFonts w:eastAsia="Calibri" w:cstheme="minorHAnsi"/>
        </w:rPr>
        <w:t xml:space="preserve">; </w:t>
      </w:r>
    </w:p>
    <w:p w14:paraId="6DF4AA98" w14:textId="5BFE9A93" w:rsidR="00C63363" w:rsidRPr="00086416" w:rsidRDefault="00C63363" w:rsidP="003D3018">
      <w:pPr>
        <w:shd w:val="clear" w:color="auto" w:fill="FFFFFF"/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3. </w:t>
      </w:r>
      <w:r w:rsidRPr="00086416">
        <w:rPr>
          <w:rFonts w:eastAsia="Calibri" w:cstheme="minorHAnsi"/>
        </w:rPr>
        <w:tab/>
        <w:t xml:space="preserve">Przetwarzanie danych osobowych Wykonawcy w ramach Programu Operacyjnego Wiedza Edukacja Rozwój 2014-2020 odbywa się na podstawie obowiązujących przepisów prawa </w:t>
      </w:r>
      <w:r w:rsidR="00E832F8">
        <w:rPr>
          <w:rFonts w:eastAsia="Calibri" w:cstheme="minorHAnsi"/>
        </w:rPr>
        <w:br/>
      </w:r>
      <w:r w:rsidRPr="00086416">
        <w:rPr>
          <w:rFonts w:eastAsia="Calibri" w:cstheme="minorHAnsi"/>
        </w:rPr>
        <w:t>w następujących celach:</w:t>
      </w:r>
    </w:p>
    <w:p w14:paraId="1AC3B27E" w14:textId="517CD351" w:rsidR="002A789C" w:rsidRDefault="00C63363" w:rsidP="002A789C">
      <w:pPr>
        <w:pStyle w:val="Akapitzlist"/>
        <w:numPr>
          <w:ilvl w:val="0"/>
          <w:numId w:val="36"/>
        </w:numPr>
        <w:shd w:val="clear" w:color="auto" w:fill="FFFFFF"/>
        <w:spacing w:after="0"/>
        <w:ind w:left="709" w:hanging="283"/>
        <w:rPr>
          <w:rFonts w:eastAsia="Calibri" w:cstheme="minorHAnsi"/>
        </w:rPr>
      </w:pPr>
      <w:r w:rsidRPr="002A789C">
        <w:rPr>
          <w:rFonts w:eastAsia="Calibri" w:cstheme="minorHAnsi"/>
        </w:rPr>
        <w:t xml:space="preserve">aplikowanie o środki unijne i realizacja projektów, w szczególności potwierdzanie kwalifikowalności wydatków, udzielanie wsparcia uczestnikom projektów, ewaluacji, monitoringu, kontroli, audytu, sprawozdawczości oraz działań informacyjnopromocyjnych, </w:t>
      </w:r>
      <w:r w:rsidR="00E832F8">
        <w:rPr>
          <w:rFonts w:eastAsia="Calibri" w:cstheme="minorHAnsi"/>
        </w:rPr>
        <w:br/>
      </w:r>
      <w:r w:rsidRPr="002A789C">
        <w:rPr>
          <w:rFonts w:eastAsia="Calibri" w:cstheme="minorHAnsi"/>
        </w:rPr>
        <w:t xml:space="preserve">w ramach Programu Operacyjnego Wiedza Edukacja Rozwój 2014-2020, </w:t>
      </w:r>
    </w:p>
    <w:p w14:paraId="12C34BAD" w14:textId="4E75DD9D" w:rsidR="00C63363" w:rsidRPr="002A789C" w:rsidRDefault="00C63363" w:rsidP="002A789C">
      <w:pPr>
        <w:pStyle w:val="Akapitzlist"/>
        <w:numPr>
          <w:ilvl w:val="0"/>
          <w:numId w:val="36"/>
        </w:numPr>
        <w:shd w:val="clear" w:color="auto" w:fill="FFFFFF"/>
        <w:spacing w:after="0"/>
        <w:ind w:left="709" w:hanging="283"/>
        <w:rPr>
          <w:rFonts w:eastAsia="Calibri" w:cstheme="minorHAnsi"/>
        </w:rPr>
      </w:pPr>
      <w:r w:rsidRPr="002A789C">
        <w:rPr>
          <w:rFonts w:eastAsia="Calibri" w:cstheme="minorHAnsi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93ADB5A" w14:textId="77777777" w:rsidR="00C63363" w:rsidRPr="00086416" w:rsidRDefault="00C63363" w:rsidP="003D3018">
      <w:pPr>
        <w:shd w:val="clear" w:color="auto" w:fill="FFFFFF"/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4. </w:t>
      </w:r>
      <w:r w:rsidRPr="00086416">
        <w:rPr>
          <w:rFonts w:eastAsia="Calibri" w:cstheme="minorHAnsi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11FDEBAE" w14:textId="20FD6CDA" w:rsidR="00C63363" w:rsidRPr="00086416" w:rsidRDefault="00C63363" w:rsidP="003D3018">
      <w:pPr>
        <w:shd w:val="clear" w:color="auto" w:fill="FFFFFF"/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5. </w:t>
      </w:r>
      <w:r w:rsidRPr="00086416">
        <w:rPr>
          <w:rFonts w:eastAsia="Calibri" w:cstheme="minorHAnsi"/>
        </w:rPr>
        <w:tab/>
        <w:t>Dane osobowe Wykonawcy zostały powierzone Instytucji Pośredniczącej Ministerstwo Edukacji Narodowej</w:t>
      </w:r>
      <w:r w:rsidR="00772AA3" w:rsidRPr="00086416">
        <w:rPr>
          <w:rFonts w:eastAsia="Calibri" w:cstheme="minorHAnsi"/>
        </w:rPr>
        <w:t xml:space="preserve"> (aktualnie Ministerstwo Edukacji i Nauki)</w:t>
      </w:r>
      <w:r w:rsidRPr="00086416">
        <w:rPr>
          <w:rFonts w:eastAsia="Calibri" w:cstheme="minorHAnsi"/>
        </w:rPr>
        <w:t xml:space="preserve"> 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5473FD6" w14:textId="77777777" w:rsidR="00C63363" w:rsidRPr="00086416" w:rsidRDefault="00C63363" w:rsidP="003D3018">
      <w:pPr>
        <w:shd w:val="clear" w:color="auto" w:fill="FFFFFF"/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6. </w:t>
      </w:r>
      <w:r w:rsidRPr="00086416">
        <w:rPr>
          <w:rFonts w:eastAsia="Calibri" w:cstheme="minorHAnsi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2968D57A" w14:textId="51996FEF" w:rsidR="00C63363" w:rsidRPr="00086416" w:rsidRDefault="00C63363" w:rsidP="003D3018">
      <w:pPr>
        <w:shd w:val="clear" w:color="auto" w:fill="FFFFFF"/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7. </w:t>
      </w:r>
      <w:r w:rsidRPr="00086416">
        <w:rPr>
          <w:rFonts w:eastAsia="Calibri" w:cstheme="minorHAnsi"/>
        </w:rPr>
        <w:tab/>
        <w:t xml:space="preserve">Dane będą przechowywane przez okres niezbędny do </w:t>
      </w:r>
      <w:r w:rsidR="00101E98">
        <w:rPr>
          <w:rFonts w:eastAsia="Calibri" w:cstheme="minorHAnsi"/>
        </w:rPr>
        <w:t xml:space="preserve">realizacji celu, o którym mowa </w:t>
      </w:r>
      <w:r w:rsidRPr="00086416">
        <w:rPr>
          <w:rFonts w:eastAsia="Calibri" w:cstheme="minorHAnsi"/>
        </w:rPr>
        <w:t xml:space="preserve">w pkt. 3, </w:t>
      </w:r>
      <w:r w:rsidR="00101E98">
        <w:rPr>
          <w:rFonts w:eastAsia="Calibri" w:cstheme="minorHAnsi"/>
        </w:rPr>
        <w:br/>
      </w:r>
      <w:r w:rsidRPr="00086416">
        <w:rPr>
          <w:rFonts w:eastAsia="Calibri" w:cstheme="minorHAnsi"/>
        </w:rPr>
        <w:t>do momentu wygaśnięcia obowiązku prze</w:t>
      </w:r>
      <w:r w:rsidR="00101E98">
        <w:rPr>
          <w:rFonts w:eastAsia="Calibri" w:cstheme="minorHAnsi"/>
        </w:rPr>
        <w:t xml:space="preserve">chowywania danych wynikającego </w:t>
      </w:r>
      <w:r w:rsidRPr="00086416">
        <w:rPr>
          <w:rFonts w:eastAsia="Calibri" w:cstheme="minorHAnsi"/>
        </w:rPr>
        <w:t>z przepisów prawa;</w:t>
      </w:r>
    </w:p>
    <w:p w14:paraId="35D26FE7" w14:textId="77777777" w:rsidR="00C63363" w:rsidRPr="00086416" w:rsidRDefault="00C63363" w:rsidP="003D3018">
      <w:pPr>
        <w:shd w:val="clear" w:color="auto" w:fill="FFFFFF"/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8. </w:t>
      </w:r>
      <w:r w:rsidRPr="00086416">
        <w:rPr>
          <w:rFonts w:eastAsia="Calibri" w:cstheme="minorHAnsi"/>
        </w:rPr>
        <w:tab/>
        <w:t>Dane Wykonawcy nie będą podlegały zautomatyzowanemu podejmowaniu decyzji i nie będą profilowane;</w:t>
      </w:r>
    </w:p>
    <w:p w14:paraId="63944085" w14:textId="77777777" w:rsidR="002A789C" w:rsidRDefault="00C63363" w:rsidP="002A789C">
      <w:pPr>
        <w:shd w:val="clear" w:color="auto" w:fill="FFFFFF"/>
        <w:spacing w:after="0"/>
        <w:ind w:left="426" w:hanging="426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9. </w:t>
      </w:r>
      <w:r w:rsidRPr="00086416">
        <w:rPr>
          <w:rFonts w:eastAsia="Calibri" w:cstheme="minorHAnsi"/>
        </w:rPr>
        <w:tab/>
        <w:t xml:space="preserve">Dane osobowe Wykonawcy nie będą przekazywane do państwa trzeciego; </w:t>
      </w:r>
    </w:p>
    <w:p w14:paraId="76D97F29" w14:textId="43425A70" w:rsidR="00C63363" w:rsidRPr="002A789C" w:rsidRDefault="00C63363" w:rsidP="00101E98">
      <w:pPr>
        <w:pStyle w:val="Akapitzlist"/>
        <w:numPr>
          <w:ilvl w:val="0"/>
          <w:numId w:val="35"/>
        </w:numPr>
        <w:shd w:val="clear" w:color="auto" w:fill="FFFFFF"/>
        <w:spacing w:after="480"/>
        <w:ind w:left="425" w:hanging="425"/>
        <w:contextualSpacing w:val="0"/>
        <w:rPr>
          <w:rFonts w:eastAsia="Calibri" w:cstheme="minorHAnsi"/>
        </w:rPr>
      </w:pPr>
      <w:r w:rsidRPr="002A789C">
        <w:rPr>
          <w:rFonts w:eastAsia="Calibri" w:cstheme="minorHAnsi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6E1EAC69" w14:textId="0B91710E" w:rsidR="0066524A" w:rsidRPr="002A789C" w:rsidRDefault="0066524A" w:rsidP="002A789C">
      <w:pPr>
        <w:pStyle w:val="Akapitzlist"/>
        <w:numPr>
          <w:ilvl w:val="0"/>
          <w:numId w:val="29"/>
        </w:numPr>
        <w:spacing w:before="120"/>
        <w:ind w:left="714" w:hanging="357"/>
        <w:contextualSpacing w:val="0"/>
        <w:rPr>
          <w:rFonts w:eastAsia="Calibri" w:cstheme="minorHAnsi"/>
          <w:b/>
        </w:rPr>
      </w:pPr>
      <w:r w:rsidRPr="00086416">
        <w:rPr>
          <w:rFonts w:eastAsia="Calibri" w:cstheme="minorHAnsi"/>
          <w:b/>
        </w:rPr>
        <w:lastRenderedPageBreak/>
        <w:t>Załączniki do zapytania:</w:t>
      </w:r>
    </w:p>
    <w:p w14:paraId="29C932E1" w14:textId="77777777" w:rsidR="00E47287" w:rsidRPr="00086416" w:rsidRDefault="00E47287" w:rsidP="00576693">
      <w:pPr>
        <w:pStyle w:val="Akapitzlist"/>
        <w:spacing w:after="600"/>
        <w:rPr>
          <w:rFonts w:cstheme="minorHAnsi"/>
        </w:rPr>
      </w:pPr>
      <w:r w:rsidRPr="00086416">
        <w:rPr>
          <w:rFonts w:cstheme="minorHAnsi"/>
        </w:rPr>
        <w:t>Załącznik nr 1 - Szczegółowy opis przedmiotu zamówienia</w:t>
      </w:r>
    </w:p>
    <w:p w14:paraId="26B1A999" w14:textId="23A10A5B" w:rsidR="00E47287" w:rsidRPr="00086416" w:rsidRDefault="00E47287" w:rsidP="00576693">
      <w:pPr>
        <w:pStyle w:val="Akapitzlist"/>
        <w:spacing w:after="600"/>
        <w:rPr>
          <w:rFonts w:cstheme="minorHAnsi"/>
        </w:rPr>
      </w:pPr>
      <w:r w:rsidRPr="00086416">
        <w:rPr>
          <w:rFonts w:cstheme="minorHAnsi"/>
        </w:rPr>
        <w:t xml:space="preserve">Załącznik nr 2 – Formularz </w:t>
      </w:r>
      <w:r w:rsidR="00C77F60" w:rsidRPr="00086416">
        <w:rPr>
          <w:rFonts w:cstheme="minorHAnsi"/>
        </w:rPr>
        <w:t>ofertowy</w:t>
      </w:r>
    </w:p>
    <w:p w14:paraId="08C40D7B" w14:textId="77777777" w:rsidR="00576693" w:rsidRPr="00086416" w:rsidRDefault="00E47287" w:rsidP="00576693">
      <w:pPr>
        <w:pStyle w:val="Akapitzlist"/>
        <w:spacing w:after="600"/>
        <w:rPr>
          <w:rFonts w:cstheme="minorHAnsi"/>
        </w:rPr>
      </w:pPr>
      <w:r w:rsidRPr="00086416">
        <w:rPr>
          <w:rFonts w:cstheme="minorHAnsi"/>
        </w:rPr>
        <w:t xml:space="preserve">Załącznik nr 3 – </w:t>
      </w:r>
      <w:r w:rsidR="00D67B41" w:rsidRPr="00086416">
        <w:rPr>
          <w:rFonts w:eastAsia="Calibri" w:cstheme="minorHAnsi"/>
        </w:rPr>
        <w:t>Wzór umowy</w:t>
      </w:r>
      <w:r w:rsidR="00D67B41" w:rsidRPr="00086416">
        <w:rPr>
          <w:rFonts w:cstheme="minorHAnsi"/>
        </w:rPr>
        <w:t xml:space="preserve"> </w:t>
      </w:r>
    </w:p>
    <w:p w14:paraId="21B8E077" w14:textId="6E5FCC79" w:rsidR="00C77F60" w:rsidRPr="00086416" w:rsidRDefault="00576693" w:rsidP="00D67B41">
      <w:pPr>
        <w:pStyle w:val="Akapitzlist"/>
        <w:spacing w:after="600"/>
        <w:rPr>
          <w:rFonts w:cstheme="minorHAnsi"/>
        </w:rPr>
      </w:pPr>
      <w:r w:rsidRPr="00086416">
        <w:rPr>
          <w:rFonts w:cstheme="minorHAnsi"/>
        </w:rPr>
        <w:t xml:space="preserve">Załącznik nr 4 </w:t>
      </w:r>
      <w:r w:rsidR="00C77F60" w:rsidRPr="00086416">
        <w:rPr>
          <w:rFonts w:cstheme="minorHAnsi"/>
        </w:rPr>
        <w:t xml:space="preserve">a – </w:t>
      </w:r>
      <w:r w:rsidR="00D67B41" w:rsidRPr="00086416">
        <w:rPr>
          <w:rFonts w:cstheme="minorHAnsi"/>
        </w:rPr>
        <w:t xml:space="preserve">Wzór wniosku aplikacyjnego </w:t>
      </w:r>
    </w:p>
    <w:p w14:paraId="187AF0F3" w14:textId="324DD136" w:rsidR="00C77F60" w:rsidRPr="00086416" w:rsidRDefault="00C77F60" w:rsidP="00D67B41">
      <w:pPr>
        <w:pStyle w:val="Akapitzlist"/>
        <w:spacing w:after="600"/>
        <w:rPr>
          <w:rFonts w:cstheme="minorHAnsi"/>
        </w:rPr>
      </w:pPr>
      <w:r w:rsidRPr="00086416">
        <w:rPr>
          <w:rFonts w:cstheme="minorHAnsi"/>
        </w:rPr>
        <w:t>Załącznik nr 4 b – Wzór karty ceny formalnej</w:t>
      </w:r>
    </w:p>
    <w:p w14:paraId="5C0674A1" w14:textId="51B805F7" w:rsidR="00D2372B" w:rsidRPr="002A789C" w:rsidRDefault="00C77F60" w:rsidP="002A789C">
      <w:pPr>
        <w:pStyle w:val="Akapitzlist"/>
        <w:spacing w:after="1920"/>
        <w:contextualSpacing w:val="0"/>
        <w:rPr>
          <w:rFonts w:cstheme="minorHAnsi"/>
        </w:rPr>
      </w:pPr>
      <w:r w:rsidRPr="00086416">
        <w:rPr>
          <w:rFonts w:cstheme="minorHAnsi"/>
        </w:rPr>
        <w:t xml:space="preserve">Załącznik nr 4 c – Wzór karty </w:t>
      </w:r>
      <w:r w:rsidR="00D67B41" w:rsidRPr="00086416">
        <w:rPr>
          <w:rFonts w:cstheme="minorHAnsi"/>
        </w:rPr>
        <w:t>merytorycznej</w:t>
      </w:r>
    </w:p>
    <w:p w14:paraId="7EB51F00" w14:textId="77777777" w:rsidR="00DA6D4F" w:rsidRPr="00086416" w:rsidRDefault="00DA6D4F" w:rsidP="00DA6D4F">
      <w:pPr>
        <w:spacing w:after="0"/>
        <w:rPr>
          <w:rFonts w:eastAsia="Calibri" w:cstheme="minorHAnsi"/>
        </w:rPr>
      </w:pPr>
      <w:r w:rsidRPr="00086416">
        <w:rPr>
          <w:rFonts w:eastAsia="Calibri" w:cstheme="minorHAnsi"/>
        </w:rPr>
        <w:t>sporządził: ………………………………..……………………………….</w:t>
      </w:r>
    </w:p>
    <w:p w14:paraId="5C5624EF" w14:textId="3F84AE66" w:rsidR="00DA6D4F" w:rsidRPr="00086416" w:rsidRDefault="00DA6D4F" w:rsidP="002A789C">
      <w:pPr>
        <w:spacing w:after="1080"/>
        <w:ind w:left="1416" w:firstLine="708"/>
        <w:rPr>
          <w:rFonts w:eastAsia="Calibri" w:cstheme="minorHAnsi"/>
        </w:rPr>
      </w:pPr>
      <w:r w:rsidRPr="00086416">
        <w:rPr>
          <w:rFonts w:eastAsia="Calibri" w:cstheme="minorHAnsi"/>
          <w:i/>
          <w:sz w:val="16"/>
          <w:szCs w:val="16"/>
        </w:rPr>
        <w:t>(data, podpis, pieczątka)</w:t>
      </w:r>
    </w:p>
    <w:p w14:paraId="5DE73463" w14:textId="55AA3509" w:rsidR="00D5015F" w:rsidRDefault="00DA6D4F" w:rsidP="00D5015F">
      <w:pPr>
        <w:spacing w:after="0"/>
        <w:rPr>
          <w:rFonts w:eastAsia="Calibri" w:cstheme="minorHAnsi"/>
        </w:rPr>
      </w:pPr>
      <w:r w:rsidRPr="00086416">
        <w:rPr>
          <w:rFonts w:eastAsia="Calibri" w:cstheme="minorHAnsi"/>
        </w:rPr>
        <w:t>sprawdził:………………………</w:t>
      </w:r>
      <w:r w:rsidR="00D5015F">
        <w:rPr>
          <w:rFonts w:eastAsia="Calibri" w:cstheme="minorHAnsi"/>
        </w:rPr>
        <w:t>………</w:t>
      </w:r>
      <w:r w:rsidRPr="00086416">
        <w:rPr>
          <w:rFonts w:eastAsia="Calibri" w:cstheme="minorHAnsi"/>
        </w:rPr>
        <w:t>……………………………………………</w:t>
      </w:r>
    </w:p>
    <w:p w14:paraId="2D4B6322" w14:textId="4898D213" w:rsidR="00DA6D4F" w:rsidRPr="00D5015F" w:rsidRDefault="00DA6D4F" w:rsidP="00D5015F">
      <w:pPr>
        <w:spacing w:after="0"/>
        <w:ind w:left="709" w:firstLine="709"/>
        <w:rPr>
          <w:rFonts w:eastAsia="Calibri" w:cstheme="minorHAnsi"/>
        </w:rPr>
      </w:pPr>
      <w:r w:rsidRPr="00086416">
        <w:rPr>
          <w:rFonts w:eastAsia="Calibri" w:cstheme="minorHAnsi"/>
          <w:i/>
          <w:sz w:val="16"/>
          <w:szCs w:val="16"/>
        </w:rPr>
        <w:t>(kierownik komórki organizacyjnej/data, podpis, pieczątka)</w:t>
      </w:r>
    </w:p>
    <w:p w14:paraId="64F5E0E4" w14:textId="45CB89BC" w:rsidR="00DA6D4F" w:rsidRPr="00086416" w:rsidRDefault="00DA6D4F" w:rsidP="00D5015F">
      <w:pPr>
        <w:spacing w:before="720" w:after="0"/>
        <w:rPr>
          <w:rFonts w:eastAsia="Calibri" w:cstheme="minorHAnsi"/>
        </w:rPr>
      </w:pPr>
      <w:r w:rsidRPr="00086416">
        <w:rPr>
          <w:rFonts w:eastAsia="Calibri" w:cstheme="minorHAnsi"/>
        </w:rPr>
        <w:t xml:space="preserve">……………….…………………….. </w:t>
      </w:r>
    </w:p>
    <w:p w14:paraId="651119D2" w14:textId="59C7D8C1" w:rsidR="00DA6D4F" w:rsidRPr="00086416" w:rsidRDefault="00DA6D4F" w:rsidP="002A789C">
      <w:pPr>
        <w:spacing w:after="960"/>
        <w:rPr>
          <w:rFonts w:eastAsia="Calibri" w:cstheme="minorHAnsi"/>
        </w:rPr>
      </w:pPr>
      <w:r w:rsidRPr="00086416">
        <w:rPr>
          <w:rFonts w:eastAsia="Calibri" w:cstheme="minorHAnsi"/>
        </w:rPr>
        <w:t>miejscowość, data</w:t>
      </w:r>
    </w:p>
    <w:p w14:paraId="5C1878F6" w14:textId="77777777" w:rsidR="00DA6D4F" w:rsidRPr="00086416" w:rsidRDefault="00DA6D4F" w:rsidP="00DA6D4F">
      <w:pPr>
        <w:spacing w:after="0" w:line="240" w:lineRule="auto"/>
        <w:ind w:left="3686" w:firstLine="708"/>
        <w:rPr>
          <w:rFonts w:eastAsia="Calibri" w:cstheme="minorHAnsi"/>
        </w:rPr>
      </w:pPr>
      <w:r w:rsidRPr="00086416">
        <w:rPr>
          <w:rFonts w:eastAsia="Calibri" w:cstheme="minorHAnsi"/>
        </w:rPr>
        <w:t>..…………………………………………………………………</w:t>
      </w:r>
    </w:p>
    <w:p w14:paraId="31E54FE2" w14:textId="77777777" w:rsidR="00DA6D4F" w:rsidRPr="00086416" w:rsidRDefault="00DA6D4F" w:rsidP="00DA6D4F">
      <w:pPr>
        <w:spacing w:after="0" w:line="240" w:lineRule="auto"/>
        <w:ind w:left="2977" w:firstLine="709"/>
        <w:jc w:val="center"/>
        <w:rPr>
          <w:rFonts w:eastAsia="Times New Roman" w:cstheme="minorHAnsi"/>
          <w:b/>
          <w:bCs/>
          <w:lang w:eastAsia="pl-PL"/>
        </w:rPr>
      </w:pPr>
      <w:r w:rsidRPr="00086416">
        <w:rPr>
          <w:rFonts w:eastAsia="Times New Roman" w:cstheme="minorHAnsi"/>
          <w:b/>
          <w:bCs/>
          <w:lang w:eastAsia="pl-PL"/>
        </w:rPr>
        <w:t xml:space="preserve">Zatwierdzenie Kierownika Zamawiającego </w:t>
      </w:r>
    </w:p>
    <w:p w14:paraId="453654C3" w14:textId="77777777" w:rsidR="00DA6D4F" w:rsidRPr="00086416" w:rsidRDefault="00DA6D4F" w:rsidP="00DA6D4F">
      <w:pPr>
        <w:spacing w:after="0" w:line="240" w:lineRule="auto"/>
        <w:ind w:left="2836" w:firstLine="709"/>
        <w:jc w:val="center"/>
        <w:rPr>
          <w:rFonts w:eastAsia="Times New Roman" w:cstheme="minorHAnsi"/>
          <w:b/>
          <w:bCs/>
          <w:lang w:eastAsia="pl-PL"/>
        </w:rPr>
      </w:pPr>
      <w:r w:rsidRPr="00086416">
        <w:rPr>
          <w:rFonts w:eastAsia="Times New Roman" w:cstheme="minorHAnsi"/>
          <w:b/>
          <w:bCs/>
          <w:lang w:eastAsia="pl-PL"/>
        </w:rPr>
        <w:t xml:space="preserve">lub osoby upoważnionej </w:t>
      </w:r>
      <w:r w:rsidRPr="00086416">
        <w:rPr>
          <w:rFonts w:eastAsia="Times New Roman" w:cstheme="minorHAnsi"/>
          <w:bCs/>
          <w:sz w:val="16"/>
          <w:szCs w:val="16"/>
          <w:lang w:eastAsia="pl-PL"/>
        </w:rPr>
        <w:t>(</w:t>
      </w:r>
      <w:r w:rsidRPr="00086416">
        <w:rPr>
          <w:rFonts w:eastAsia="Calibri" w:cstheme="minorHAnsi"/>
          <w:i/>
          <w:sz w:val="16"/>
          <w:szCs w:val="16"/>
        </w:rPr>
        <w:t>podpis, pieczątka)</w:t>
      </w:r>
    </w:p>
    <w:sectPr w:rsidR="00DA6D4F" w:rsidRPr="0008641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4EF38" w14:textId="77777777" w:rsidR="009B4552" w:rsidRDefault="009B4552" w:rsidP="00BE2F03">
      <w:pPr>
        <w:spacing w:after="0" w:line="240" w:lineRule="auto"/>
      </w:pPr>
      <w:r>
        <w:separator/>
      </w:r>
    </w:p>
  </w:endnote>
  <w:endnote w:type="continuationSeparator" w:id="0">
    <w:p w14:paraId="702399FC" w14:textId="77777777" w:rsidR="009B4552" w:rsidRDefault="009B4552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7749" w14:textId="77777777" w:rsidR="006B2943" w:rsidRDefault="006B2943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19481A08" wp14:editId="7E1B712E">
          <wp:extent cx="5760720" cy="7435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21EF4" w14:textId="77777777" w:rsidR="009B4552" w:rsidRDefault="009B4552" w:rsidP="00BE2F03">
      <w:pPr>
        <w:spacing w:after="0" w:line="240" w:lineRule="auto"/>
      </w:pPr>
      <w:r>
        <w:separator/>
      </w:r>
    </w:p>
  </w:footnote>
  <w:footnote w:type="continuationSeparator" w:id="0">
    <w:p w14:paraId="6AD9490E" w14:textId="77777777" w:rsidR="009B4552" w:rsidRDefault="009B4552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44916" w14:textId="77777777" w:rsidR="006342DD" w:rsidRDefault="006342DD" w:rsidP="002A789C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5BB239E5" wp14:editId="5F63F8AE">
          <wp:extent cx="4057650" cy="581025"/>
          <wp:effectExtent l="0" t="0" r="0" b="9525"/>
          <wp:docPr id="4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8949" cy="581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E66"/>
    <w:multiLevelType w:val="hybridMultilevel"/>
    <w:tmpl w:val="E1784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4759B"/>
    <w:multiLevelType w:val="hybridMultilevel"/>
    <w:tmpl w:val="9F88D0E4"/>
    <w:lvl w:ilvl="0" w:tplc="665E7D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7B3D"/>
    <w:multiLevelType w:val="hybridMultilevel"/>
    <w:tmpl w:val="E57A28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0A2654"/>
    <w:multiLevelType w:val="hybridMultilevel"/>
    <w:tmpl w:val="2630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7F1D"/>
    <w:multiLevelType w:val="hybridMultilevel"/>
    <w:tmpl w:val="D68C4EEC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9489260">
      <w:start w:val="1"/>
      <w:numFmt w:val="decimal"/>
      <w:lvlText w:val="%4."/>
      <w:lvlJc w:val="left"/>
      <w:pPr>
        <w:ind w:left="294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8E4AB9"/>
    <w:multiLevelType w:val="hybridMultilevel"/>
    <w:tmpl w:val="D5C20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315BB"/>
    <w:multiLevelType w:val="hybridMultilevel"/>
    <w:tmpl w:val="C76053B2"/>
    <w:lvl w:ilvl="0" w:tplc="7AC2BF94">
      <w:start w:val="1"/>
      <w:numFmt w:val="decimal"/>
      <w:lvlText w:val="%1."/>
      <w:lvlJc w:val="left"/>
      <w:pPr>
        <w:ind w:left="-3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36" w:hanging="360"/>
      </w:pPr>
    </w:lvl>
    <w:lvl w:ilvl="2" w:tplc="0415001B">
      <w:start w:val="1"/>
      <w:numFmt w:val="lowerRoman"/>
      <w:lvlText w:val="%3."/>
      <w:lvlJc w:val="right"/>
      <w:pPr>
        <w:ind w:left="1056" w:hanging="180"/>
      </w:pPr>
    </w:lvl>
    <w:lvl w:ilvl="3" w:tplc="0415000F">
      <w:start w:val="1"/>
      <w:numFmt w:val="decimal"/>
      <w:lvlText w:val="%4."/>
      <w:lvlJc w:val="left"/>
      <w:pPr>
        <w:ind w:left="1776" w:hanging="360"/>
      </w:pPr>
    </w:lvl>
    <w:lvl w:ilvl="4" w:tplc="04150019">
      <w:start w:val="1"/>
      <w:numFmt w:val="lowerLetter"/>
      <w:lvlText w:val="%5."/>
      <w:lvlJc w:val="left"/>
      <w:pPr>
        <w:ind w:left="2496" w:hanging="360"/>
      </w:pPr>
    </w:lvl>
    <w:lvl w:ilvl="5" w:tplc="0415001B">
      <w:start w:val="1"/>
      <w:numFmt w:val="lowerRoman"/>
      <w:lvlText w:val="%6."/>
      <w:lvlJc w:val="right"/>
      <w:pPr>
        <w:ind w:left="3216" w:hanging="180"/>
      </w:pPr>
    </w:lvl>
    <w:lvl w:ilvl="6" w:tplc="0415000F">
      <w:start w:val="1"/>
      <w:numFmt w:val="decimal"/>
      <w:lvlText w:val="%7."/>
      <w:lvlJc w:val="left"/>
      <w:pPr>
        <w:ind w:left="3936" w:hanging="360"/>
      </w:pPr>
    </w:lvl>
    <w:lvl w:ilvl="7" w:tplc="04150019">
      <w:start w:val="1"/>
      <w:numFmt w:val="lowerLetter"/>
      <w:lvlText w:val="%8."/>
      <w:lvlJc w:val="left"/>
      <w:pPr>
        <w:ind w:left="4656" w:hanging="360"/>
      </w:pPr>
    </w:lvl>
    <w:lvl w:ilvl="8" w:tplc="0415001B">
      <w:start w:val="1"/>
      <w:numFmt w:val="lowerRoman"/>
      <w:lvlText w:val="%9."/>
      <w:lvlJc w:val="right"/>
      <w:pPr>
        <w:ind w:left="5376" w:hanging="180"/>
      </w:pPr>
    </w:lvl>
  </w:abstractNum>
  <w:abstractNum w:abstractNumId="12" w15:restartNumberingAfterBreak="0">
    <w:nsid w:val="2A3F7301"/>
    <w:multiLevelType w:val="hybridMultilevel"/>
    <w:tmpl w:val="3CE2FE3A"/>
    <w:lvl w:ilvl="0" w:tplc="BD7007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E5C83"/>
    <w:multiLevelType w:val="hybridMultilevel"/>
    <w:tmpl w:val="CEA41060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D068A"/>
    <w:multiLevelType w:val="hybridMultilevel"/>
    <w:tmpl w:val="1DE8D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8638F"/>
    <w:multiLevelType w:val="hybridMultilevel"/>
    <w:tmpl w:val="F7AE99DE"/>
    <w:lvl w:ilvl="0" w:tplc="04150013">
      <w:start w:val="1"/>
      <w:numFmt w:val="upperRoman"/>
      <w:lvlText w:val="%1."/>
      <w:lvlJc w:val="right"/>
      <w:pPr>
        <w:ind w:left="278" w:firstLine="43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D0DDC"/>
    <w:multiLevelType w:val="hybridMultilevel"/>
    <w:tmpl w:val="B6BA7D60"/>
    <w:lvl w:ilvl="0" w:tplc="7AC2B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22A0C13"/>
    <w:multiLevelType w:val="hybridMultilevel"/>
    <w:tmpl w:val="B6AEA4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7B94340"/>
    <w:multiLevelType w:val="hybridMultilevel"/>
    <w:tmpl w:val="5566B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84687"/>
    <w:multiLevelType w:val="hybridMultilevel"/>
    <w:tmpl w:val="BFA6BF42"/>
    <w:lvl w:ilvl="0" w:tplc="DBBA1DC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4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653CBC"/>
    <w:multiLevelType w:val="multilevel"/>
    <w:tmpl w:val="7D3AB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E67696C"/>
    <w:multiLevelType w:val="hybridMultilevel"/>
    <w:tmpl w:val="3F421DC4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30287"/>
    <w:multiLevelType w:val="hybridMultilevel"/>
    <w:tmpl w:val="51721356"/>
    <w:lvl w:ilvl="0" w:tplc="3D4846E4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BAF2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1E57A0">
      <w:start w:val="1"/>
      <w:numFmt w:val="lowerRoman"/>
      <w:lvlText w:val="%3."/>
      <w:lvlJc w:val="left"/>
      <w:pPr>
        <w:ind w:left="2127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0054A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1A9E8A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E83FE4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30369E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3495B6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DE12AA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01D1212"/>
    <w:multiLevelType w:val="hybridMultilevel"/>
    <w:tmpl w:val="CC5A3C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150FAC"/>
    <w:multiLevelType w:val="multilevel"/>
    <w:tmpl w:val="E8A6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num w:numId="1">
    <w:abstractNumId w:val="1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27"/>
  </w:num>
  <w:num w:numId="19">
    <w:abstractNumId w:val="27"/>
    <w:lvlOverride w:ilvl="3">
      <w:startOverride w:val="4"/>
    </w:lvlOverride>
  </w:num>
  <w:num w:numId="20">
    <w:abstractNumId w:val="22"/>
  </w:num>
  <w:num w:numId="21">
    <w:abstractNumId w:val="2"/>
  </w:num>
  <w:num w:numId="22">
    <w:abstractNumId w:val="6"/>
  </w:num>
  <w:num w:numId="23">
    <w:abstractNumId w:val="9"/>
  </w:num>
  <w:num w:numId="24">
    <w:abstractNumId w:val="17"/>
  </w:num>
  <w:num w:numId="25">
    <w:abstractNumId w:val="20"/>
  </w:num>
  <w:num w:numId="26">
    <w:abstractNumId w:val="25"/>
  </w:num>
  <w:num w:numId="27">
    <w:abstractNumId w:val="31"/>
  </w:num>
  <w:num w:numId="28">
    <w:abstractNumId w:val="18"/>
  </w:num>
  <w:num w:numId="29">
    <w:abstractNumId w:val="12"/>
  </w:num>
  <w:num w:numId="30">
    <w:abstractNumId w:val="11"/>
  </w:num>
  <w:num w:numId="31">
    <w:abstractNumId w:val="13"/>
  </w:num>
  <w:num w:numId="32">
    <w:abstractNumId w:val="28"/>
  </w:num>
  <w:num w:numId="33">
    <w:abstractNumId w:val="19"/>
  </w:num>
  <w:num w:numId="34">
    <w:abstractNumId w:val="26"/>
  </w:num>
  <w:num w:numId="35">
    <w:abstractNumId w:val="2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23356"/>
    <w:rsid w:val="00031A64"/>
    <w:rsid w:val="000657D3"/>
    <w:rsid w:val="00071F9A"/>
    <w:rsid w:val="00081709"/>
    <w:rsid w:val="000817E8"/>
    <w:rsid w:val="00086416"/>
    <w:rsid w:val="000925F4"/>
    <w:rsid w:val="00096245"/>
    <w:rsid w:val="000B358D"/>
    <w:rsid w:val="000E2BFA"/>
    <w:rsid w:val="000E74ED"/>
    <w:rsid w:val="000F2D39"/>
    <w:rsid w:val="00101E0E"/>
    <w:rsid w:val="00101E98"/>
    <w:rsid w:val="00120E4F"/>
    <w:rsid w:val="001525EC"/>
    <w:rsid w:val="00154798"/>
    <w:rsid w:val="00172E78"/>
    <w:rsid w:val="00174E7A"/>
    <w:rsid w:val="00176A95"/>
    <w:rsid w:val="001859F5"/>
    <w:rsid w:val="001A4235"/>
    <w:rsid w:val="001B2B51"/>
    <w:rsid w:val="001B74E9"/>
    <w:rsid w:val="001D1E46"/>
    <w:rsid w:val="001E0EBD"/>
    <w:rsid w:val="001E712E"/>
    <w:rsid w:val="001F5D3D"/>
    <w:rsid w:val="00262471"/>
    <w:rsid w:val="00293ADA"/>
    <w:rsid w:val="002A6E26"/>
    <w:rsid w:val="002A789C"/>
    <w:rsid w:val="002B5578"/>
    <w:rsid w:val="002C430F"/>
    <w:rsid w:val="002E5505"/>
    <w:rsid w:val="002F1B83"/>
    <w:rsid w:val="002F4D7B"/>
    <w:rsid w:val="0031512D"/>
    <w:rsid w:val="003208D0"/>
    <w:rsid w:val="00361CE4"/>
    <w:rsid w:val="00362ADF"/>
    <w:rsid w:val="00370283"/>
    <w:rsid w:val="00375957"/>
    <w:rsid w:val="003C3C2F"/>
    <w:rsid w:val="003D3018"/>
    <w:rsid w:val="003E0929"/>
    <w:rsid w:val="003E126D"/>
    <w:rsid w:val="003E787D"/>
    <w:rsid w:val="003F2FDA"/>
    <w:rsid w:val="003F51BC"/>
    <w:rsid w:val="00405A76"/>
    <w:rsid w:val="00407E46"/>
    <w:rsid w:val="00420A98"/>
    <w:rsid w:val="00424EDD"/>
    <w:rsid w:val="00450466"/>
    <w:rsid w:val="004512A7"/>
    <w:rsid w:val="004702EC"/>
    <w:rsid w:val="004746D2"/>
    <w:rsid w:val="00477B68"/>
    <w:rsid w:val="004848C6"/>
    <w:rsid w:val="004D0874"/>
    <w:rsid w:val="004D3C87"/>
    <w:rsid w:val="0052688E"/>
    <w:rsid w:val="0056486F"/>
    <w:rsid w:val="00576693"/>
    <w:rsid w:val="005839AF"/>
    <w:rsid w:val="00590274"/>
    <w:rsid w:val="005A07D7"/>
    <w:rsid w:val="005A2FFB"/>
    <w:rsid w:val="005C4E8B"/>
    <w:rsid w:val="005D05E0"/>
    <w:rsid w:val="005E62FF"/>
    <w:rsid w:val="00607717"/>
    <w:rsid w:val="00617AF2"/>
    <w:rsid w:val="00623F44"/>
    <w:rsid w:val="0062589E"/>
    <w:rsid w:val="006259E5"/>
    <w:rsid w:val="00633F7C"/>
    <w:rsid w:val="006342DD"/>
    <w:rsid w:val="0066524A"/>
    <w:rsid w:val="00665F36"/>
    <w:rsid w:val="006753DD"/>
    <w:rsid w:val="006A64FE"/>
    <w:rsid w:val="006B2943"/>
    <w:rsid w:val="006D4D45"/>
    <w:rsid w:val="00714674"/>
    <w:rsid w:val="00715480"/>
    <w:rsid w:val="0071730A"/>
    <w:rsid w:val="00724A94"/>
    <w:rsid w:val="00725E36"/>
    <w:rsid w:val="00741E28"/>
    <w:rsid w:val="00746B17"/>
    <w:rsid w:val="00750390"/>
    <w:rsid w:val="00761A82"/>
    <w:rsid w:val="00767A62"/>
    <w:rsid w:val="00771141"/>
    <w:rsid w:val="00772AA3"/>
    <w:rsid w:val="007A69A3"/>
    <w:rsid w:val="007D5CDD"/>
    <w:rsid w:val="007E30FB"/>
    <w:rsid w:val="007E579F"/>
    <w:rsid w:val="00805FA8"/>
    <w:rsid w:val="00807072"/>
    <w:rsid w:val="00811A69"/>
    <w:rsid w:val="00812426"/>
    <w:rsid w:val="00882DF8"/>
    <w:rsid w:val="00883F5E"/>
    <w:rsid w:val="008A15BB"/>
    <w:rsid w:val="008C1D5F"/>
    <w:rsid w:val="008C561D"/>
    <w:rsid w:val="008D3C4A"/>
    <w:rsid w:val="008D5384"/>
    <w:rsid w:val="00926480"/>
    <w:rsid w:val="00926C6C"/>
    <w:rsid w:val="009270FF"/>
    <w:rsid w:val="00932C0E"/>
    <w:rsid w:val="00991052"/>
    <w:rsid w:val="009B4552"/>
    <w:rsid w:val="009C266D"/>
    <w:rsid w:val="009D25FE"/>
    <w:rsid w:val="009E0F36"/>
    <w:rsid w:val="009F3F83"/>
    <w:rsid w:val="00A443EC"/>
    <w:rsid w:val="00A47018"/>
    <w:rsid w:val="00AA7E96"/>
    <w:rsid w:val="00AB278A"/>
    <w:rsid w:val="00AB76A1"/>
    <w:rsid w:val="00AE1849"/>
    <w:rsid w:val="00B004A1"/>
    <w:rsid w:val="00B038A0"/>
    <w:rsid w:val="00B05764"/>
    <w:rsid w:val="00B075B5"/>
    <w:rsid w:val="00B226C6"/>
    <w:rsid w:val="00B545AC"/>
    <w:rsid w:val="00B63629"/>
    <w:rsid w:val="00B939CE"/>
    <w:rsid w:val="00B943E0"/>
    <w:rsid w:val="00B97113"/>
    <w:rsid w:val="00BB0598"/>
    <w:rsid w:val="00BC7BBE"/>
    <w:rsid w:val="00BE2F03"/>
    <w:rsid w:val="00BF412D"/>
    <w:rsid w:val="00C03A15"/>
    <w:rsid w:val="00C16A99"/>
    <w:rsid w:val="00C175FE"/>
    <w:rsid w:val="00C222FC"/>
    <w:rsid w:val="00C45DB4"/>
    <w:rsid w:val="00C63363"/>
    <w:rsid w:val="00C7024D"/>
    <w:rsid w:val="00C77F60"/>
    <w:rsid w:val="00C8188B"/>
    <w:rsid w:val="00CA3C15"/>
    <w:rsid w:val="00CA4199"/>
    <w:rsid w:val="00CC6308"/>
    <w:rsid w:val="00CE17EE"/>
    <w:rsid w:val="00D03D00"/>
    <w:rsid w:val="00D1275A"/>
    <w:rsid w:val="00D2372B"/>
    <w:rsid w:val="00D5015F"/>
    <w:rsid w:val="00D5415D"/>
    <w:rsid w:val="00D54FD2"/>
    <w:rsid w:val="00D67B41"/>
    <w:rsid w:val="00D7260A"/>
    <w:rsid w:val="00D825BB"/>
    <w:rsid w:val="00D8747F"/>
    <w:rsid w:val="00DA6D4F"/>
    <w:rsid w:val="00DB281C"/>
    <w:rsid w:val="00DB6C71"/>
    <w:rsid w:val="00DB72EA"/>
    <w:rsid w:val="00DC3DA6"/>
    <w:rsid w:val="00DE2CB7"/>
    <w:rsid w:val="00DF2759"/>
    <w:rsid w:val="00E278AA"/>
    <w:rsid w:val="00E37AEA"/>
    <w:rsid w:val="00E47287"/>
    <w:rsid w:val="00E55E74"/>
    <w:rsid w:val="00E6424A"/>
    <w:rsid w:val="00E832F8"/>
    <w:rsid w:val="00EB3ADF"/>
    <w:rsid w:val="00EB7E86"/>
    <w:rsid w:val="00ED6448"/>
    <w:rsid w:val="00EE2B9A"/>
    <w:rsid w:val="00EF66B8"/>
    <w:rsid w:val="00F208B5"/>
    <w:rsid w:val="00F348C8"/>
    <w:rsid w:val="00F40308"/>
    <w:rsid w:val="00F40A9C"/>
    <w:rsid w:val="00F600E6"/>
    <w:rsid w:val="00F87B7F"/>
    <w:rsid w:val="00F907BB"/>
    <w:rsid w:val="00FB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635B3"/>
  <w15:docId w15:val="{7657C172-4DF9-4B05-8FAF-D9067C89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4F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6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B2943"/>
  </w:style>
  <w:style w:type="paragraph" w:styleId="Stopka">
    <w:name w:val="footer"/>
    <w:basedOn w:val="Normalny"/>
    <w:link w:val="StopkaZnak"/>
    <w:uiPriority w:val="99"/>
    <w:unhideWhenUsed/>
    <w:rsid w:val="006B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943"/>
  </w:style>
  <w:style w:type="character" w:styleId="Numerstrony">
    <w:name w:val="page number"/>
    <w:basedOn w:val="Domylnaczcionkaakapitu"/>
    <w:rsid w:val="006B2943"/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7E579F"/>
  </w:style>
  <w:style w:type="paragraph" w:customStyle="1" w:styleId="Normalny1">
    <w:name w:val="Normalny1"/>
    <w:rsid w:val="00DB72E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Tabela-Siatka">
    <w:name w:val="Table Grid"/>
    <w:basedOn w:val="Standardowy"/>
    <w:uiPriority w:val="59"/>
    <w:rsid w:val="006A64FE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648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8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8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8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86F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489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3692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1010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bielawska@ore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re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bielawska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wer.gov.pl/strony/o-programie/promocja/zasady-promocji-i-oznakowania-projektow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3E29-DA2C-4176-ACCE-AEA96297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2225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5</cp:revision>
  <cp:lastPrinted>2019-10-08T12:25:00Z</cp:lastPrinted>
  <dcterms:created xsi:type="dcterms:W3CDTF">2021-01-14T10:53:00Z</dcterms:created>
  <dcterms:modified xsi:type="dcterms:W3CDTF">2021-01-14T12:18:00Z</dcterms:modified>
</cp:coreProperties>
</file>