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188A9" w14:textId="77777777" w:rsidR="00DA6D4F" w:rsidRP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14:paraId="0B7488CD" w14:textId="77777777" w:rsidR="00EB3ADF" w:rsidRPr="00D7260A" w:rsidRDefault="00EB3ADF" w:rsidP="00BE2F03">
      <w:pPr>
        <w:jc w:val="center"/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0D161D07" wp14:editId="24644F77">
            <wp:extent cx="5757063" cy="892454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0C5F1" w14:textId="77777777" w:rsidR="00450466" w:rsidRDefault="00450466" w:rsidP="00450466">
      <w:pPr>
        <w:spacing w:after="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</w:p>
    <w:p w14:paraId="68A65B22" w14:textId="77777777" w:rsidR="004A3BE6" w:rsidRDefault="004A3BE6" w:rsidP="00F600E6">
      <w:pPr>
        <w:spacing w:after="0"/>
        <w:rPr>
          <w:rFonts w:eastAsia="Calibri" w:cs="Times New Roman"/>
          <w:b/>
        </w:rPr>
      </w:pPr>
    </w:p>
    <w:p w14:paraId="5103041D" w14:textId="77777777" w:rsidR="00F600E6" w:rsidRDefault="00F348C8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14:paraId="7BC1A16D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14:paraId="4E5ACB15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14:paraId="0C2DC178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14:paraId="5263CE17" w14:textId="77777777" w:rsidR="008D6664" w:rsidRDefault="008D6664" w:rsidP="008D6664">
      <w:pPr>
        <w:spacing w:after="0"/>
        <w:rPr>
          <w:rFonts w:eastAsia="Calibri" w:cs="Times New Roman"/>
          <w:b/>
        </w:rPr>
      </w:pPr>
    </w:p>
    <w:p w14:paraId="59E63CB8" w14:textId="77777777" w:rsidR="00BE2F03" w:rsidRDefault="00BE2F03" w:rsidP="00BE2F03">
      <w:pPr>
        <w:rPr>
          <w:rFonts w:eastAsia="Calibri" w:cs="Times New Roman"/>
        </w:rPr>
      </w:pPr>
      <w:r w:rsidRPr="00607717">
        <w:rPr>
          <w:rFonts w:eastAsia="Calibri" w:cs="Times New Roman"/>
        </w:rPr>
        <w:t>zwraca się do Państwa z zapytaniem ofertowym na:</w:t>
      </w:r>
    </w:p>
    <w:p w14:paraId="70B43C0D" w14:textId="23FB2A86" w:rsidR="00A703FB" w:rsidRDefault="00D47DCC" w:rsidP="0011616F">
      <w:pPr>
        <w:rPr>
          <w:rFonts w:eastAsia="Calibri" w:cs="Times New Roman"/>
        </w:rPr>
      </w:pPr>
      <w:r>
        <w:rPr>
          <w:rFonts w:eastAsia="Calibri" w:cs="Times New Roman"/>
        </w:rPr>
        <w:t xml:space="preserve">Zakup </w:t>
      </w:r>
      <w:r w:rsidR="001C5481">
        <w:rPr>
          <w:rFonts w:eastAsia="Calibri" w:cs="Times New Roman"/>
        </w:rPr>
        <w:t xml:space="preserve">10 </w:t>
      </w:r>
      <w:r w:rsidR="00DB2847">
        <w:rPr>
          <w:rFonts w:eastAsia="Calibri" w:cs="Times New Roman"/>
        </w:rPr>
        <w:t xml:space="preserve">licencji </w:t>
      </w:r>
      <w:r w:rsidR="00657CA1">
        <w:rPr>
          <w:rFonts w:eastAsia="Calibri" w:cs="Times New Roman"/>
        </w:rPr>
        <w:t xml:space="preserve">pakietu </w:t>
      </w:r>
      <w:r w:rsidR="00DB2847">
        <w:rPr>
          <w:rFonts w:eastAsia="Calibri" w:cs="Times New Roman"/>
        </w:rPr>
        <w:t>oprogramowania</w:t>
      </w:r>
      <w:r w:rsidR="00657CA1">
        <w:rPr>
          <w:rFonts w:eastAsia="Calibri" w:cs="Times New Roman"/>
        </w:rPr>
        <w:t xml:space="preserve"> graficznego </w:t>
      </w:r>
      <w:r w:rsidR="006313C6">
        <w:rPr>
          <w:rFonts w:eastAsia="Calibri" w:cs="Times New Roman"/>
        </w:rPr>
        <w:t xml:space="preserve"> </w:t>
      </w:r>
      <w:r w:rsidR="0011616F" w:rsidRPr="0011616F">
        <w:rPr>
          <w:rFonts w:eastAsia="Calibri" w:cs="Times New Roman"/>
          <w:b/>
        </w:rPr>
        <w:t xml:space="preserve">Adobe Creative Cloud for Teams All Apps (2020) </w:t>
      </w:r>
      <w:r w:rsidR="00663D04" w:rsidRPr="00146B93">
        <w:rPr>
          <w:rFonts w:eastAsia="Calibri" w:cs="Times New Roman"/>
          <w:b/>
        </w:rPr>
        <w:t xml:space="preserve">MULTILANGUAGE </w:t>
      </w:r>
      <w:r w:rsidR="0011616F">
        <w:rPr>
          <w:rFonts w:eastAsia="Calibri" w:cs="Times New Roman"/>
          <w:b/>
        </w:rPr>
        <w:t xml:space="preserve">- </w:t>
      </w:r>
      <w:r w:rsidR="0011616F" w:rsidRPr="0011616F">
        <w:rPr>
          <w:rFonts w:eastAsia="Calibri" w:cs="Times New Roman"/>
          <w:b/>
        </w:rPr>
        <w:t>licencja imienna dla instytucji EDU</w:t>
      </w:r>
      <w:r w:rsidR="0011616F">
        <w:rPr>
          <w:rFonts w:eastAsia="Calibri" w:cs="Times New Roman"/>
          <w:b/>
        </w:rPr>
        <w:t xml:space="preserve">KACYJNYCH </w:t>
      </w:r>
      <w:r w:rsidR="00A703FB">
        <w:rPr>
          <w:rFonts w:eastAsia="Calibri" w:cs="Times New Roman"/>
        </w:rPr>
        <w:t xml:space="preserve">dla Ośrodka Rozwoju Edukacji </w:t>
      </w:r>
      <w:r w:rsidR="00A703FB" w:rsidRPr="00A703FB">
        <w:rPr>
          <w:rFonts w:eastAsia="Calibri" w:cs="Times New Roman"/>
        </w:rPr>
        <w:t>w Warszawie</w:t>
      </w:r>
      <w:r w:rsidR="00DB2847">
        <w:rPr>
          <w:rFonts w:eastAsia="Calibri" w:cs="Times New Roman"/>
        </w:rPr>
        <w:t>.</w:t>
      </w:r>
    </w:p>
    <w:p w14:paraId="4D70BD6D" w14:textId="77777777" w:rsidR="00BE2F03" w:rsidRPr="00D7260A" w:rsidRDefault="00BE2F03" w:rsidP="00A703FB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II. Osoba nadzorująca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amówienia ze strony Zamawiającego:</w:t>
      </w:r>
    </w:p>
    <w:p w14:paraId="791FDE6E" w14:textId="3B260B89" w:rsidR="00BE2F03" w:rsidRPr="004F5934" w:rsidRDefault="004F5934" w:rsidP="00AB278A">
      <w:pPr>
        <w:jc w:val="both"/>
        <w:rPr>
          <w:rFonts w:eastAsia="Calibri" w:cs="Times New Roman"/>
          <w:lang w:val="en-US"/>
        </w:rPr>
      </w:pPr>
      <w:r w:rsidRPr="004F5934">
        <w:rPr>
          <w:rFonts w:eastAsia="Calibri" w:cs="Times New Roman"/>
          <w:lang w:val="en-US"/>
        </w:rPr>
        <w:t>Łukasz Eisenbart</w:t>
      </w:r>
      <w:r w:rsidR="00C75607" w:rsidRPr="004F5934">
        <w:rPr>
          <w:rFonts w:eastAsia="Calibri" w:cs="Times New Roman"/>
          <w:lang w:val="en-US"/>
        </w:rPr>
        <w:t xml:space="preserve">, tel. </w:t>
      </w:r>
      <w:r w:rsidRPr="004F5934">
        <w:rPr>
          <w:rFonts w:eastAsia="Calibri" w:cs="Times New Roman"/>
          <w:lang w:val="en-US"/>
        </w:rPr>
        <w:t>22 345 37 00 w. 418</w:t>
      </w:r>
      <w:r w:rsidR="00C75607" w:rsidRPr="004F5934">
        <w:rPr>
          <w:rFonts w:eastAsia="Calibri" w:cs="Times New Roman"/>
          <w:lang w:val="en-US"/>
        </w:rPr>
        <w:t xml:space="preserve">, e-mail: </w:t>
      </w:r>
      <w:r>
        <w:rPr>
          <w:rFonts w:eastAsia="Calibri" w:cs="Times New Roman"/>
          <w:lang w:val="en-US"/>
        </w:rPr>
        <w:t>lukasz.eisenbart</w:t>
      </w:r>
      <w:r w:rsidR="00C75607" w:rsidRPr="004F5934">
        <w:rPr>
          <w:rFonts w:eastAsia="Calibri" w:cs="Times New Roman"/>
          <w:lang w:val="en-US"/>
        </w:rPr>
        <w:t>@ore.edu.pl</w:t>
      </w:r>
    </w:p>
    <w:p w14:paraId="56A50803" w14:textId="3F7C2608" w:rsidR="00BE2F03" w:rsidRPr="00D7260A" w:rsidRDefault="00DB6C71" w:rsidP="00A703FB">
      <w:pPr>
        <w:spacing w:after="0"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III</w:t>
      </w:r>
      <w:r w:rsidR="007B6865">
        <w:rPr>
          <w:rFonts w:eastAsia="Calibri" w:cs="Times New Roman"/>
          <w:b/>
        </w:rPr>
        <w:t>. Szczegółowy opis przedmiotu z</w:t>
      </w:r>
      <w:r w:rsidR="00BE2F03" w:rsidRPr="00D7260A">
        <w:rPr>
          <w:rFonts w:eastAsia="Calibri" w:cs="Times New Roman"/>
          <w:b/>
        </w:rPr>
        <w:t>amówienia</w:t>
      </w:r>
      <w:r w:rsidR="00EA6C83">
        <w:rPr>
          <w:rFonts w:eastAsia="Calibri" w:cs="Times New Roman"/>
        </w:rPr>
        <w:t>:</w:t>
      </w:r>
    </w:p>
    <w:p w14:paraId="14314438" w14:textId="5EA80E97" w:rsidR="00EA6C83" w:rsidRDefault="00A703FB" w:rsidP="008D3B49">
      <w:pPr>
        <w:pStyle w:val="Akapitzlist"/>
        <w:numPr>
          <w:ilvl w:val="0"/>
          <w:numId w:val="61"/>
        </w:numPr>
        <w:spacing w:after="0" w:line="240" w:lineRule="auto"/>
        <w:ind w:left="364"/>
        <w:jc w:val="both"/>
        <w:rPr>
          <w:rFonts w:eastAsia="Calibri" w:cs="Times New Roman"/>
        </w:rPr>
      </w:pPr>
      <w:r w:rsidRPr="008D3B49">
        <w:rPr>
          <w:rFonts w:eastAsia="Calibri" w:cs="Times New Roman"/>
        </w:rPr>
        <w:t>Przedmiotem zamówienia jest</w:t>
      </w:r>
      <w:r w:rsidR="00396E83">
        <w:rPr>
          <w:rFonts w:eastAsia="Calibri" w:cs="Times New Roman"/>
        </w:rPr>
        <w:t xml:space="preserve"> 10 licencji</w:t>
      </w:r>
      <w:r w:rsidR="00332CE2">
        <w:rPr>
          <w:rFonts w:eastAsia="Calibri" w:cs="Times New Roman"/>
        </w:rPr>
        <w:t xml:space="preserve"> na pakiet</w:t>
      </w:r>
      <w:r w:rsidR="00DB2847" w:rsidRPr="008D3B49">
        <w:rPr>
          <w:rFonts w:eastAsia="Calibri" w:cs="Times New Roman"/>
        </w:rPr>
        <w:t xml:space="preserve"> oprogramowania </w:t>
      </w:r>
      <w:r w:rsidR="00332CE2">
        <w:rPr>
          <w:rFonts w:eastAsia="Calibri" w:cs="Times New Roman"/>
        </w:rPr>
        <w:t>graficznego</w:t>
      </w:r>
      <w:r w:rsidR="00396E83">
        <w:rPr>
          <w:rFonts w:eastAsia="Calibri" w:cs="Times New Roman"/>
        </w:rPr>
        <w:t xml:space="preserve"> Adobe CC (</w:t>
      </w:r>
      <w:r w:rsidR="00396E83" w:rsidRPr="00396E83">
        <w:rPr>
          <w:rFonts w:eastAsia="Calibri" w:cs="Times New Roman"/>
        </w:rPr>
        <w:t>Adobe Creative Cloud for Teams All Apps (2020) MULTILANGUAGE - licencja imienna dla instytucji EDUKACYJNYCH</w:t>
      </w:r>
      <w:r w:rsidR="00396E83">
        <w:rPr>
          <w:rFonts w:eastAsia="Calibri" w:cs="Times New Roman"/>
        </w:rPr>
        <w:t>)</w:t>
      </w:r>
      <w:r w:rsidR="00DB2847" w:rsidRPr="008D3B49">
        <w:rPr>
          <w:rFonts w:eastAsia="Calibri" w:cs="Times New Roman"/>
        </w:rPr>
        <w:t>.</w:t>
      </w:r>
    </w:p>
    <w:p w14:paraId="08393371" w14:textId="15B4E189" w:rsidR="00EA6C83" w:rsidRPr="008D3B49" w:rsidRDefault="007B6865" w:rsidP="008D3B49">
      <w:pPr>
        <w:pStyle w:val="Akapitzlist"/>
        <w:numPr>
          <w:ilvl w:val="0"/>
          <w:numId w:val="61"/>
        </w:numPr>
        <w:spacing w:after="0" w:line="240" w:lineRule="auto"/>
        <w:ind w:left="364"/>
        <w:jc w:val="both"/>
        <w:rPr>
          <w:rFonts w:eastAsia="Calibri" w:cs="Times New Roman"/>
        </w:rPr>
      </w:pPr>
      <w:r w:rsidRPr="008D3B49">
        <w:rPr>
          <w:rFonts w:eastAsia="Calibri" w:cs="Times New Roman"/>
        </w:rPr>
        <w:t xml:space="preserve">Wykonawca zobowiązany jest do realizacji przedmiotu </w:t>
      </w:r>
      <w:r w:rsidR="00DB2847" w:rsidRPr="008D3B49">
        <w:rPr>
          <w:rFonts w:eastAsia="Calibri" w:cs="Times New Roman"/>
        </w:rPr>
        <w:t>(dostarczenia certyfikatu licencyjnego</w:t>
      </w:r>
      <w:r w:rsidR="00AC1402">
        <w:rPr>
          <w:rFonts w:eastAsia="Calibri" w:cs="Times New Roman"/>
        </w:rPr>
        <w:t xml:space="preserve"> najnowszej aktualnie obowiązującej wersji oprogramowania</w:t>
      </w:r>
      <w:r w:rsidR="00DB2847" w:rsidRPr="008D3B49">
        <w:rPr>
          <w:rFonts w:eastAsia="Calibri" w:cs="Times New Roman"/>
        </w:rPr>
        <w:t xml:space="preserve">) </w:t>
      </w:r>
      <w:r w:rsidR="00AC1402">
        <w:rPr>
          <w:rFonts w:eastAsia="Calibri" w:cs="Times New Roman"/>
        </w:rPr>
        <w:t xml:space="preserve">w ciągu </w:t>
      </w:r>
      <w:r w:rsidR="000E1DD2">
        <w:rPr>
          <w:rFonts w:eastAsia="Calibri" w:cs="Times New Roman"/>
        </w:rPr>
        <w:t>2</w:t>
      </w:r>
      <w:r w:rsidR="00AC1402">
        <w:rPr>
          <w:rFonts w:eastAsia="Calibri" w:cs="Times New Roman"/>
        </w:rPr>
        <w:t xml:space="preserve"> dni od</w:t>
      </w:r>
      <w:r w:rsidRPr="008D3B49">
        <w:rPr>
          <w:rFonts w:eastAsia="Calibri" w:cs="Times New Roman"/>
        </w:rPr>
        <w:t xml:space="preserve"> </w:t>
      </w:r>
      <w:r w:rsidR="000E1DD2">
        <w:rPr>
          <w:rFonts w:eastAsia="Calibri" w:cs="Times New Roman"/>
        </w:rPr>
        <w:t xml:space="preserve">dnia </w:t>
      </w:r>
      <w:r w:rsidRPr="008D3B49">
        <w:rPr>
          <w:rFonts w:eastAsia="Calibri" w:cs="Times New Roman"/>
        </w:rPr>
        <w:t>podpi</w:t>
      </w:r>
      <w:r w:rsidR="00DB2847" w:rsidRPr="008D3B49">
        <w:rPr>
          <w:rFonts w:eastAsia="Calibri" w:cs="Times New Roman"/>
        </w:rPr>
        <w:t>saniu umowy</w:t>
      </w:r>
      <w:r w:rsidR="00BC25A3" w:rsidRPr="008D3B49">
        <w:rPr>
          <w:rFonts w:eastAsia="Calibri" w:cs="Times New Roman"/>
        </w:rPr>
        <w:t>.</w:t>
      </w:r>
    </w:p>
    <w:p w14:paraId="15B7E648" w14:textId="77777777" w:rsidR="007B6865" w:rsidRDefault="007B6865" w:rsidP="008D3B49">
      <w:pPr>
        <w:pStyle w:val="Akapitzlist"/>
        <w:numPr>
          <w:ilvl w:val="0"/>
          <w:numId w:val="61"/>
        </w:numPr>
        <w:spacing w:after="0" w:line="240" w:lineRule="auto"/>
        <w:ind w:left="364"/>
        <w:jc w:val="both"/>
      </w:pPr>
      <w:r w:rsidRPr="008D3B49">
        <w:rPr>
          <w:b/>
        </w:rPr>
        <w:t>Wzór umowy</w:t>
      </w:r>
      <w:r>
        <w:t xml:space="preserve"> stanowi </w:t>
      </w:r>
      <w:r w:rsidRPr="008D3B49">
        <w:rPr>
          <w:b/>
        </w:rPr>
        <w:t>załącznik nr 2</w:t>
      </w:r>
      <w:r>
        <w:t xml:space="preserve"> do zapytania ofertowego. </w:t>
      </w:r>
    </w:p>
    <w:p w14:paraId="4B0A0E41" w14:textId="77777777" w:rsidR="007B6865" w:rsidRPr="00A703FB" w:rsidRDefault="007B6865" w:rsidP="00A703FB">
      <w:pPr>
        <w:spacing w:after="0" w:line="240" w:lineRule="auto"/>
        <w:jc w:val="both"/>
        <w:rPr>
          <w:rFonts w:eastAsia="Calibri" w:cs="Times New Roman"/>
        </w:rPr>
      </w:pPr>
    </w:p>
    <w:p w14:paraId="5BD1B2FF" w14:textId="77777777"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</w:t>
      </w:r>
      <w:r w:rsidR="00BE2F03" w:rsidRPr="00D7260A">
        <w:rPr>
          <w:rFonts w:eastAsia="Calibri" w:cs="Times New Roman"/>
          <w:b/>
        </w:rPr>
        <w:t>V. Wymagania związane z wykonaniem</w:t>
      </w:r>
      <w:r w:rsidR="008A15BB">
        <w:rPr>
          <w:rFonts w:eastAsia="Calibri" w:cs="Times New Roman"/>
          <w:b/>
        </w:rPr>
        <w:t xml:space="preserve"> zamówienia:</w:t>
      </w:r>
    </w:p>
    <w:p w14:paraId="16CCC33F" w14:textId="77777777" w:rsidR="00072BC2" w:rsidRPr="00072BC2" w:rsidRDefault="00BE2F03" w:rsidP="00C713EA">
      <w:pPr>
        <w:pStyle w:val="Akapitzlist"/>
        <w:numPr>
          <w:ilvl w:val="0"/>
          <w:numId w:val="1"/>
        </w:numPr>
        <w:spacing w:after="0" w:line="256" w:lineRule="auto"/>
        <w:jc w:val="both"/>
        <w:rPr>
          <w:rFonts w:eastAsia="Calibri" w:cs="Times New Roman"/>
        </w:rPr>
      </w:pPr>
      <w:r w:rsidRPr="00072BC2">
        <w:rPr>
          <w:rFonts w:eastAsia="Calibri" w:cs="Times New Roman"/>
        </w:rPr>
        <w:t>O udzielenie Zamówienia mogą ubiegać się Wykonawcy, którzy spełniają warunki, dotyczące:</w:t>
      </w:r>
    </w:p>
    <w:p w14:paraId="486AFCDC" w14:textId="77777777" w:rsidR="00BE2F03" w:rsidRPr="00D7260A" w:rsidRDefault="00BE2F03" w:rsidP="00C713EA">
      <w:pPr>
        <w:numPr>
          <w:ilvl w:val="0"/>
          <w:numId w:val="8"/>
        </w:numPr>
        <w:spacing w:after="0" w:line="256" w:lineRule="auto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posiadania uprawnień do wykonywania określonej działalności lub czynności, jeżeli przepisy prawa nak</w:t>
      </w:r>
      <w:r w:rsidR="00072BC2">
        <w:rPr>
          <w:rFonts w:eastAsia="Calibri" w:cs="Times New Roman"/>
        </w:rPr>
        <w:t>ładają obowiązek ich posiadania – Zamawiający nie ustanawia w tym zakresie szczegółowych wymagań, których spełnienie będzie musiał wykazać Wykonawca;</w:t>
      </w:r>
    </w:p>
    <w:p w14:paraId="4B736DDF" w14:textId="33D5394F" w:rsidR="00BE2F03" w:rsidRPr="006313ED" w:rsidRDefault="00BE2F03" w:rsidP="00274EAC">
      <w:pPr>
        <w:numPr>
          <w:ilvl w:val="0"/>
          <w:numId w:val="8"/>
        </w:numPr>
        <w:spacing w:after="0" w:line="256" w:lineRule="auto"/>
        <w:jc w:val="both"/>
        <w:rPr>
          <w:rFonts w:eastAsia="Calibri" w:cs="Times New Roman"/>
        </w:rPr>
      </w:pPr>
      <w:r w:rsidRPr="006313ED">
        <w:rPr>
          <w:rFonts w:eastAsia="Calibri" w:cs="Times New Roman"/>
        </w:rPr>
        <w:t>posiadania wiedzy i doświadczenia</w:t>
      </w:r>
      <w:r w:rsidR="00EA6C83" w:rsidRPr="006313ED">
        <w:rPr>
          <w:rFonts w:eastAsia="Calibri" w:cs="Times New Roman"/>
        </w:rPr>
        <w:t xml:space="preserve"> ─ </w:t>
      </w:r>
      <w:r w:rsidR="006313ED" w:rsidRPr="006313ED">
        <w:rPr>
          <w:rFonts w:eastAsia="Calibri" w:cs="Times New Roman"/>
        </w:rPr>
        <w:t xml:space="preserve">warunek zostanie uznany za spełniony, jeżeli Wykonawca jest autoryzowanym partnerem biznesowym </w:t>
      </w:r>
      <w:r w:rsidR="009C252E" w:rsidRPr="009C252E">
        <w:rPr>
          <w:rFonts w:eastAsia="Calibri" w:cs="Times New Roman"/>
        </w:rPr>
        <w:t>Adobe</w:t>
      </w:r>
      <w:r w:rsidR="009C252E">
        <w:rPr>
          <w:rFonts w:eastAsia="Calibri" w:cs="Times New Roman"/>
        </w:rPr>
        <w:t xml:space="preserve"> </w:t>
      </w:r>
      <w:r w:rsidR="006313ED" w:rsidRPr="006313ED">
        <w:rPr>
          <w:rFonts w:eastAsia="Calibri" w:cs="Times New Roman"/>
        </w:rPr>
        <w:t xml:space="preserve">i został wpisany na listę partnerów biznesowych producenta oprogramowania, dostępną pod adresem </w:t>
      </w:r>
      <w:r w:rsidR="00C11EBE">
        <w:rPr>
          <w:rFonts w:eastAsia="Calibri" w:cs="Times New Roman"/>
        </w:rPr>
        <w:br/>
      </w:r>
      <w:r w:rsidR="006313ED" w:rsidRPr="006313ED">
        <w:rPr>
          <w:rFonts w:eastAsia="Calibri" w:cs="Times New Roman"/>
        </w:rPr>
        <w:t>(</w:t>
      </w:r>
      <w:r w:rsidR="00532B47">
        <w:rPr>
          <w:rFonts w:eastAsia="Calibri" w:cs="Times New Roman"/>
        </w:rPr>
        <w:t xml:space="preserve"> </w:t>
      </w:r>
      <w:r w:rsidR="00274EAC" w:rsidRPr="00274EAC">
        <w:rPr>
          <w:color w:val="0070C0"/>
        </w:rPr>
        <w:t>https://adobedealreg.secure.force.com/PartnerSearch?lang=uk</w:t>
      </w:r>
      <w:r w:rsidR="006313ED" w:rsidRPr="006313ED">
        <w:rPr>
          <w:rFonts w:eastAsia="Calibri" w:cs="Times New Roman"/>
        </w:rPr>
        <w:t>).</w:t>
      </w:r>
    </w:p>
    <w:p w14:paraId="264AD7B5" w14:textId="77777777" w:rsidR="00072BC2" w:rsidRDefault="00BE2F03" w:rsidP="00C713EA">
      <w:pPr>
        <w:numPr>
          <w:ilvl w:val="0"/>
          <w:numId w:val="8"/>
        </w:numPr>
        <w:spacing w:after="0" w:line="256" w:lineRule="auto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dysponowania odpowiednim potencjałem technicznym oraz osobami z</w:t>
      </w:r>
      <w:r w:rsidR="00072BC2">
        <w:rPr>
          <w:rFonts w:eastAsia="Calibri" w:cs="Times New Roman"/>
        </w:rPr>
        <w:t xml:space="preserve">dolnymi do wykonania Zamówienia </w:t>
      </w:r>
      <w:r w:rsidR="004A3BE6">
        <w:rPr>
          <w:rFonts w:eastAsia="Calibri" w:cs="Times New Roman"/>
        </w:rPr>
        <w:t>─</w:t>
      </w:r>
      <w:r w:rsidR="00072BC2">
        <w:rPr>
          <w:rFonts w:eastAsia="Calibri" w:cs="Times New Roman"/>
        </w:rPr>
        <w:t xml:space="preserve"> Zamawiający nie ustanawia w tym zakresie szczegółowych wymagań, których spełnienie będzie musiał wykazać Wykonawca;</w:t>
      </w:r>
    </w:p>
    <w:p w14:paraId="20421079" w14:textId="77777777" w:rsidR="000C437B" w:rsidRDefault="00BE2F03" w:rsidP="00C713EA">
      <w:pPr>
        <w:numPr>
          <w:ilvl w:val="0"/>
          <w:numId w:val="8"/>
        </w:numPr>
        <w:spacing w:after="0" w:line="256" w:lineRule="auto"/>
        <w:jc w:val="both"/>
        <w:rPr>
          <w:rFonts w:eastAsia="Calibri" w:cs="Times New Roman"/>
        </w:rPr>
      </w:pPr>
      <w:r w:rsidRPr="00072BC2">
        <w:rPr>
          <w:rFonts w:eastAsia="Calibri" w:cs="Times New Roman"/>
        </w:rPr>
        <w:t>sytu</w:t>
      </w:r>
      <w:r w:rsidR="00072BC2">
        <w:rPr>
          <w:rFonts w:eastAsia="Calibri" w:cs="Times New Roman"/>
        </w:rPr>
        <w:t xml:space="preserve">acji ekonomicznej i finansowej – Zamawiający nie ustanawia w tym zakresie szczegółowych wymagań, których spełnienie będzie musiał wykazać </w:t>
      </w:r>
      <w:r w:rsidR="000C437B">
        <w:rPr>
          <w:rFonts w:eastAsia="Calibri" w:cs="Times New Roman"/>
        </w:rPr>
        <w:t>Wykonawca.</w:t>
      </w:r>
    </w:p>
    <w:p w14:paraId="41E6819A" w14:textId="77777777" w:rsidR="00DF4D2D" w:rsidRDefault="00DF4D2D" w:rsidP="00BE2F03">
      <w:pPr>
        <w:rPr>
          <w:rFonts w:eastAsia="Calibri" w:cs="Times New Roman"/>
          <w:b/>
        </w:rPr>
      </w:pPr>
    </w:p>
    <w:p w14:paraId="2F5FA9E6" w14:textId="77777777" w:rsidR="00DF4D2D" w:rsidRDefault="00DF4D2D" w:rsidP="00BE2F03">
      <w:pPr>
        <w:rPr>
          <w:rFonts w:eastAsia="Calibri" w:cs="Times New Roman"/>
          <w:b/>
        </w:rPr>
      </w:pPr>
    </w:p>
    <w:p w14:paraId="1732303C" w14:textId="57E2B5A7" w:rsidR="00BE2F03" w:rsidRDefault="00BE2F03" w:rsidP="00BE2F03">
      <w:pPr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V. </w:t>
      </w:r>
      <w:r w:rsidR="00072BC2">
        <w:rPr>
          <w:rFonts w:eastAsia="Calibri" w:cs="Times New Roman"/>
          <w:b/>
        </w:rPr>
        <w:t>Wymagania dotyczące składania ofert:</w:t>
      </w:r>
      <w:r w:rsidR="002C430F" w:rsidRPr="00D7260A">
        <w:rPr>
          <w:rFonts w:eastAsia="Calibri" w:cs="Times New Roman"/>
          <w:b/>
        </w:rPr>
        <w:t xml:space="preserve"> </w:t>
      </w:r>
    </w:p>
    <w:p w14:paraId="7B71276A" w14:textId="77777777" w:rsidR="000C437B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Wykonawca może złożyć </w:t>
      </w:r>
      <w:r w:rsidR="00A63213">
        <w:rPr>
          <w:rFonts w:eastAsia="Calibri" w:cs="Times New Roman"/>
        </w:rPr>
        <w:t xml:space="preserve">tylko jedną </w:t>
      </w:r>
      <w:r>
        <w:rPr>
          <w:rFonts w:eastAsia="Calibri" w:cs="Times New Roman"/>
        </w:rPr>
        <w:t xml:space="preserve">ofertę. </w:t>
      </w:r>
    </w:p>
    <w:p w14:paraId="3F02017F" w14:textId="77777777" w:rsidR="000C437B" w:rsidRPr="000C437B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Wykonawca może, przed upływem terminu składania ofert, zmienić lub wycofać ofertę. </w:t>
      </w:r>
    </w:p>
    <w:p w14:paraId="4B0045DE" w14:textId="1E318E3A" w:rsidR="000C437B" w:rsidRPr="009F2155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  <w:b/>
        </w:rPr>
      </w:pPr>
      <w:r w:rsidRPr="009F2155">
        <w:rPr>
          <w:rFonts w:eastAsia="Calibri" w:cs="Times New Roman"/>
          <w:b/>
        </w:rPr>
        <w:t xml:space="preserve">Oferta powinna być złożona na </w:t>
      </w:r>
      <w:r w:rsidR="000E1DD2">
        <w:rPr>
          <w:rFonts w:eastAsia="Calibri" w:cs="Times New Roman"/>
          <w:b/>
        </w:rPr>
        <w:t>F</w:t>
      </w:r>
      <w:r w:rsidRPr="009F2155">
        <w:rPr>
          <w:rFonts w:eastAsia="Calibri" w:cs="Times New Roman"/>
          <w:b/>
        </w:rPr>
        <w:t>ormularzu ofer</w:t>
      </w:r>
      <w:r w:rsidR="00572B69">
        <w:rPr>
          <w:rFonts w:eastAsia="Calibri" w:cs="Times New Roman"/>
          <w:b/>
        </w:rPr>
        <w:t xml:space="preserve">towym stanowiącym załącznik nr </w:t>
      </w:r>
      <w:r w:rsidR="00A703FB">
        <w:rPr>
          <w:rFonts w:eastAsia="Calibri" w:cs="Times New Roman"/>
          <w:b/>
        </w:rPr>
        <w:t>1</w:t>
      </w:r>
      <w:r w:rsidR="00572B69">
        <w:rPr>
          <w:rFonts w:eastAsia="Calibri" w:cs="Times New Roman"/>
          <w:b/>
        </w:rPr>
        <w:t xml:space="preserve"> do zapytania ofertowego</w:t>
      </w:r>
      <w:r w:rsidR="00617D8C">
        <w:rPr>
          <w:rFonts w:eastAsia="Calibri" w:cs="Times New Roman"/>
          <w:b/>
        </w:rPr>
        <w:t>.</w:t>
      </w:r>
    </w:p>
    <w:p w14:paraId="64854298" w14:textId="77777777" w:rsidR="009F2155" w:rsidRPr="009F2155" w:rsidRDefault="009F2155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Wykonawca zobowiązany jest do prawidłowego wypełnienia formularza oferty poprzez wpisanie wymaganych danych lub odpowiednie skreślenie lub zaznaczenie. Niedopuszczalne jest wykreślanie, usuwanie bądź zmiana treści oświadczeń zawartych w formularzu. </w:t>
      </w:r>
    </w:p>
    <w:p w14:paraId="67589F1A" w14:textId="77777777" w:rsidR="009F2155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Treść oferty musi odpowiadać treści zapytania ofertowego.</w:t>
      </w:r>
      <w:r>
        <w:rPr>
          <w:rFonts w:eastAsia="Calibri" w:cs="Times New Roman"/>
        </w:rPr>
        <w:t xml:space="preserve"> </w:t>
      </w:r>
    </w:p>
    <w:p w14:paraId="4DDC9923" w14:textId="77777777" w:rsidR="00572B69" w:rsidRDefault="00572B69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Cena oferty musi obejmować wszystkie koszty Wykonawcy ponoszone w związku z</w:t>
      </w:r>
      <w:r w:rsidR="00B1084B">
        <w:rPr>
          <w:rFonts w:eastAsia="Calibri" w:cs="Times New Roman"/>
        </w:rPr>
        <w:t xml:space="preserve"> realizacją zamówienia. Ceną oferty jest cena brutto. Cenę brutto należy obliczyć poprzez powiększenie Ceny netto (stanowiącej podsumowanie iloczynów ilości i cen jednostkowych określonych przez Wykonawcę) o kwotę należnego podatku VAT wyliczoną na podstawie prawidłowo zastosowanej stawki podatku VAT. Zamawiający wskazuje, że dla przedmiotu zamówienia przypisana jest stawka podstawowa. W przypadku zwolnienia podmiotowego Wykonawca zobowiązany jest do wskazania podstawy prawnej zwolnienia. </w:t>
      </w:r>
    </w:p>
    <w:p w14:paraId="22EBB4C0" w14:textId="63EB9D82" w:rsidR="00617D8C" w:rsidRPr="00617D8C" w:rsidRDefault="000C437B" w:rsidP="00885730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Podpisaną </w:t>
      </w:r>
      <w:r>
        <w:rPr>
          <w:rFonts w:eastAsia="Calibri" w:cs="Times New Roman"/>
        </w:rPr>
        <w:t xml:space="preserve">przez osoby upoważnione </w:t>
      </w:r>
      <w:r w:rsidRPr="000C437B">
        <w:rPr>
          <w:rFonts w:eastAsia="Calibri" w:cs="Times New Roman"/>
        </w:rPr>
        <w:t xml:space="preserve">ofertę należy złożyć </w:t>
      </w:r>
      <w:r w:rsidRPr="000C437B">
        <w:rPr>
          <w:rFonts w:eastAsia="Calibri" w:cs="Times New Roman"/>
          <w:b/>
        </w:rPr>
        <w:t>w formie skanu</w:t>
      </w:r>
      <w:r w:rsidRPr="000C437B">
        <w:rPr>
          <w:rFonts w:eastAsia="Calibri" w:cs="Times New Roman"/>
        </w:rPr>
        <w:t xml:space="preserve"> w terminie do dnia  </w:t>
      </w:r>
      <w:r w:rsidR="009C723A">
        <w:rPr>
          <w:rFonts w:eastAsia="Calibri" w:cs="Times New Roman"/>
        </w:rPr>
        <w:br/>
      </w:r>
      <w:r w:rsidR="00B51848">
        <w:rPr>
          <w:rFonts w:eastAsia="Calibri" w:cs="Times New Roman"/>
          <w:b/>
        </w:rPr>
        <w:t>5</w:t>
      </w:r>
      <w:r w:rsidR="00DB2847">
        <w:rPr>
          <w:rFonts w:eastAsia="Calibri" w:cs="Times New Roman"/>
          <w:b/>
        </w:rPr>
        <w:t xml:space="preserve"> </w:t>
      </w:r>
      <w:r w:rsidR="00B51848">
        <w:rPr>
          <w:rFonts w:eastAsia="Calibri" w:cs="Times New Roman"/>
          <w:b/>
        </w:rPr>
        <w:t>grudnia</w:t>
      </w:r>
      <w:r w:rsidR="00BC25A3">
        <w:rPr>
          <w:rFonts w:eastAsia="Calibri" w:cs="Times New Roman"/>
          <w:b/>
        </w:rPr>
        <w:t xml:space="preserve"> </w:t>
      </w:r>
      <w:r w:rsidRPr="009C723A">
        <w:rPr>
          <w:rFonts w:eastAsia="Calibri" w:cs="Times New Roman"/>
          <w:b/>
        </w:rPr>
        <w:t>201</w:t>
      </w:r>
      <w:r w:rsidR="00617D8C">
        <w:rPr>
          <w:rFonts w:eastAsia="Calibri" w:cs="Times New Roman"/>
          <w:b/>
        </w:rPr>
        <w:t>9</w:t>
      </w:r>
      <w:r w:rsidRPr="009C723A">
        <w:rPr>
          <w:rFonts w:eastAsia="Calibri" w:cs="Times New Roman"/>
          <w:b/>
        </w:rPr>
        <w:t xml:space="preserve"> r. </w:t>
      </w:r>
      <w:r w:rsidR="00FE0717">
        <w:rPr>
          <w:rFonts w:eastAsia="Calibri" w:cs="Times New Roman"/>
          <w:b/>
        </w:rPr>
        <w:t xml:space="preserve">do godz. </w:t>
      </w:r>
      <w:r w:rsidR="0014079B">
        <w:rPr>
          <w:rFonts w:eastAsia="Calibri" w:cs="Times New Roman"/>
          <w:b/>
        </w:rPr>
        <w:t>15</w:t>
      </w:r>
      <w:bookmarkStart w:id="0" w:name="_GoBack"/>
      <w:bookmarkEnd w:id="0"/>
      <w:r w:rsidR="00702EBF">
        <w:rPr>
          <w:rFonts w:eastAsia="Calibri" w:cs="Times New Roman"/>
          <w:b/>
        </w:rPr>
        <w:t>.00</w:t>
      </w:r>
      <w:r w:rsidR="00FE0717">
        <w:rPr>
          <w:rFonts w:eastAsia="Calibri" w:cs="Times New Roman"/>
          <w:b/>
        </w:rPr>
        <w:t xml:space="preserve"> </w:t>
      </w:r>
      <w:r w:rsidRPr="000C437B">
        <w:rPr>
          <w:rFonts w:eastAsia="Calibri" w:cs="Times New Roman"/>
        </w:rPr>
        <w:t xml:space="preserve">na adres: </w:t>
      </w:r>
      <w:r w:rsidR="00885730" w:rsidRPr="00885730">
        <w:rPr>
          <w:rFonts w:eastAsia="Calibri" w:cs="Times New Roman"/>
        </w:rPr>
        <w:t>lukasz.eisenbart@ore.edu.pl</w:t>
      </w:r>
      <w:r w:rsidR="00BC25A3">
        <w:rPr>
          <w:rFonts w:eastAsia="Calibri" w:cs="Times New Roman"/>
        </w:rPr>
        <w:t>.</w:t>
      </w:r>
    </w:p>
    <w:p w14:paraId="4781E5D8" w14:textId="77777777" w:rsidR="009F2155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Oferty złożon</w:t>
      </w:r>
      <w:r>
        <w:rPr>
          <w:rFonts w:eastAsia="Calibri" w:cs="Times New Roman"/>
        </w:rPr>
        <w:t>e po terminie wskaz</w:t>
      </w:r>
      <w:r w:rsidR="009C723A">
        <w:rPr>
          <w:rFonts w:eastAsia="Calibri" w:cs="Times New Roman"/>
        </w:rPr>
        <w:t xml:space="preserve">anym w ust. </w:t>
      </w:r>
      <w:r w:rsidR="00FE0717">
        <w:rPr>
          <w:rFonts w:eastAsia="Calibri" w:cs="Times New Roman"/>
        </w:rPr>
        <w:t>7</w:t>
      </w:r>
      <w:r w:rsidRPr="000C437B">
        <w:rPr>
          <w:rFonts w:eastAsia="Calibri" w:cs="Times New Roman"/>
        </w:rPr>
        <w:t xml:space="preserve"> nie zostaną rozpatrzone.</w:t>
      </w:r>
    </w:p>
    <w:p w14:paraId="5D5B5CDE" w14:textId="77777777" w:rsidR="000C437B" w:rsidRPr="009F2155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9F2155">
        <w:rPr>
          <w:rFonts w:eastAsia="Calibri" w:cs="Times New Roman"/>
        </w:rPr>
        <w:t xml:space="preserve">Przez pojęcie „osoby upoważnione” należy rozumieć osoby </w:t>
      </w:r>
      <w:r w:rsidRPr="00FD6A1B">
        <w:rPr>
          <w:rFonts w:eastAsia="Calibri" w:cs="Times New Roman"/>
          <w:i/>
        </w:rPr>
        <w:t>wskazane</w:t>
      </w:r>
      <w:r w:rsidRPr="009F2155">
        <w:rPr>
          <w:rFonts w:eastAsia="Calibri" w:cs="Times New Roman"/>
        </w:rPr>
        <w:t xml:space="preserve"> jako uprawnione do reprezentacji Wykonawcy w odpowiedniej informacji z Krajowego Rejestru Sądowego, osoby fizyczne działające w imieniu własnym lub pełnomocników. </w:t>
      </w:r>
      <w:r w:rsidR="009F2155">
        <w:rPr>
          <w:rFonts w:eastAsia="Calibri" w:cs="Times New Roman"/>
        </w:rPr>
        <w:t xml:space="preserve">W przypadku pełnomocnika wymagane jest złożenie skanu pełnomocnictwa, z którego treści będzie wynikać umocowanie </w:t>
      </w:r>
      <w:r w:rsidR="009F2155">
        <w:rPr>
          <w:rFonts w:eastAsia="Calibri" w:cs="Times New Roman"/>
        </w:rPr>
        <w:br/>
        <w:t xml:space="preserve">co najmniej do podpisania i złożenia oferty. </w:t>
      </w:r>
    </w:p>
    <w:p w14:paraId="1506A2D8" w14:textId="5AF85A46" w:rsidR="000C437B" w:rsidRPr="000C437B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</w:t>
      </w:r>
      <w:r w:rsidR="009F2155">
        <w:rPr>
          <w:rFonts w:eastAsia="Calibri" w:cs="Times New Roman"/>
        </w:rPr>
        <w:t xml:space="preserve"> samodzielnie pobierze z publicznych baz danych</w:t>
      </w:r>
      <w:r w:rsidR="001D01D1">
        <w:rPr>
          <w:rFonts w:eastAsia="Calibri" w:cs="Times New Roman"/>
        </w:rPr>
        <w:t xml:space="preserve"> </w:t>
      </w:r>
      <w:r w:rsidR="009F2155">
        <w:rPr>
          <w:rFonts w:eastAsia="Calibri" w:cs="Times New Roman"/>
        </w:rPr>
        <w:t>odpisy</w:t>
      </w:r>
      <w:r w:rsidRPr="000C437B">
        <w:rPr>
          <w:rFonts w:eastAsia="Calibri" w:cs="Times New Roman"/>
        </w:rPr>
        <w:t xml:space="preserve"> w Krajowego </w:t>
      </w:r>
      <w:r w:rsidR="009F2155">
        <w:rPr>
          <w:rFonts w:eastAsia="Calibri" w:cs="Times New Roman"/>
        </w:rPr>
        <w:t>Rejestru Sądowego lub informację</w:t>
      </w:r>
      <w:r w:rsidRPr="000C437B">
        <w:rPr>
          <w:rFonts w:eastAsia="Calibri" w:cs="Times New Roman"/>
        </w:rPr>
        <w:t xml:space="preserve"> z Centralnej Ewidencji i Informacji </w:t>
      </w:r>
      <w:r>
        <w:rPr>
          <w:rFonts w:eastAsia="Calibri" w:cs="Times New Roman"/>
        </w:rPr>
        <w:t xml:space="preserve"> </w:t>
      </w:r>
      <w:r w:rsidRPr="000C437B">
        <w:rPr>
          <w:rFonts w:eastAsia="Calibri" w:cs="Times New Roman"/>
        </w:rPr>
        <w:t xml:space="preserve">Działalności Gospodarczej </w:t>
      </w:r>
      <w:r w:rsidR="00572B69">
        <w:rPr>
          <w:rFonts w:eastAsia="Calibri" w:cs="Times New Roman"/>
        </w:rPr>
        <w:t>dotyczące Wykonawców, w celu weryfikacji uprawnienia do podpisania i złożenia oferty.</w:t>
      </w:r>
    </w:p>
    <w:p w14:paraId="3AA1E50D" w14:textId="77777777" w:rsidR="00B1084B" w:rsidRDefault="00B1084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Zamawiający zastrzega sobie prawo do przeprowadzenia negocjacji zaoferowanej ceny poprzez wezwanie Wykonawcy, którego oferta została najwyżej oceniona do złożenia oferty dodatkowej w wyznaczonym terminie. Ceny jednostkowe wskazane w ofercie dodatkowej nie mogą być wyższe niż zaoferowane pierwotnie. W przypadku gdy Wykonawca nie złoży oferty dodatkowej Zamawiający uzna za wiążącą ofertę złożoną pierwotnie. </w:t>
      </w:r>
    </w:p>
    <w:p w14:paraId="6FDD007B" w14:textId="77777777" w:rsidR="00B1084B" w:rsidRDefault="00B1084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Jeżeli cena najwyżej ocenionej oferty będzie przekraczała kwotę przeznaczoną na sfinansowanie zamówienia, Zamawiający przed </w:t>
      </w:r>
      <w:r w:rsidR="00A8775A">
        <w:rPr>
          <w:rFonts w:eastAsia="Calibri" w:cs="Times New Roman"/>
        </w:rPr>
        <w:t xml:space="preserve">podjęciem decyzji o unieważnieniu postępowania, </w:t>
      </w:r>
      <w:r>
        <w:rPr>
          <w:rFonts w:eastAsia="Calibri" w:cs="Times New Roman"/>
        </w:rPr>
        <w:t xml:space="preserve">wezwie Wykonawcę do złożenia oferty dodatkowej. Jeżeli cena oferty dodatkowej będzie niższa niż kwota przeznaczona na sfinansowanie zamówienia, Zamawiający dokona wyboru tej oferty. </w:t>
      </w:r>
    </w:p>
    <w:p w14:paraId="0C6869F2" w14:textId="77777777" w:rsidR="000C437B" w:rsidRPr="000C437B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może dokonać poprawek w ofercie wyłącznie tych, które dotyczą:</w:t>
      </w:r>
    </w:p>
    <w:p w14:paraId="1CB514C0" w14:textId="77777777" w:rsidR="000C437B" w:rsidRPr="000C437B" w:rsidRDefault="000C437B" w:rsidP="000E1DD2">
      <w:pPr>
        <w:pStyle w:val="Akapitzlist"/>
        <w:numPr>
          <w:ilvl w:val="0"/>
          <w:numId w:val="10"/>
        </w:numPr>
        <w:ind w:left="709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oczywistych omyłek pisarskich; </w:t>
      </w:r>
    </w:p>
    <w:p w14:paraId="69E9C730" w14:textId="77777777" w:rsidR="000C437B" w:rsidRPr="000C437B" w:rsidRDefault="000C437B" w:rsidP="000E1DD2">
      <w:pPr>
        <w:pStyle w:val="Akapitzlist"/>
        <w:numPr>
          <w:ilvl w:val="0"/>
          <w:numId w:val="10"/>
        </w:numPr>
        <w:ind w:left="709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oczywistych omyłek rachunkowych, z uwzględnieniem konsekwencji rachunkowych dokonanych poprawek; </w:t>
      </w:r>
    </w:p>
    <w:p w14:paraId="488B7A8B" w14:textId="77777777" w:rsidR="000C437B" w:rsidRPr="000C437B" w:rsidRDefault="000C437B" w:rsidP="000E1DD2">
      <w:pPr>
        <w:pStyle w:val="Akapitzlist"/>
        <w:numPr>
          <w:ilvl w:val="0"/>
          <w:numId w:val="10"/>
        </w:numPr>
        <w:ind w:left="709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innych omyłek polegających na niezgodności oferty z zapytaniem ofertowym, niepowodujących istotnych zmian w treści oferty. </w:t>
      </w:r>
    </w:p>
    <w:p w14:paraId="29E8F4DF" w14:textId="77777777" w:rsidR="000C437B" w:rsidRPr="000C437B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informuje Wykonawców o popraw</w:t>
      </w:r>
      <w:r w:rsidR="00580877">
        <w:rPr>
          <w:rFonts w:eastAsia="Calibri" w:cs="Times New Roman"/>
        </w:rPr>
        <w:t>ieniu omyłek wskazanych w ust.</w:t>
      </w:r>
      <w:r w:rsidR="009C723A">
        <w:rPr>
          <w:rFonts w:eastAsia="Calibri" w:cs="Times New Roman"/>
        </w:rPr>
        <w:t xml:space="preserve"> 1</w:t>
      </w:r>
      <w:r w:rsidR="0015292E">
        <w:rPr>
          <w:rFonts w:eastAsia="Calibri" w:cs="Times New Roman"/>
        </w:rPr>
        <w:t>3</w:t>
      </w:r>
      <w:r w:rsidRPr="000C437B">
        <w:rPr>
          <w:rFonts w:eastAsia="Calibri" w:cs="Times New Roman"/>
        </w:rPr>
        <w:t>.</w:t>
      </w:r>
    </w:p>
    <w:p w14:paraId="6906E8B3" w14:textId="77777777" w:rsidR="000C437B" w:rsidRPr="000C437B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lastRenderedPageBreak/>
        <w:t>Zamawiający odrzuca ofertę</w:t>
      </w:r>
      <w:r w:rsidR="0015292E">
        <w:rPr>
          <w:rFonts w:eastAsia="Calibri" w:cs="Times New Roman"/>
        </w:rPr>
        <w:t>,</w:t>
      </w:r>
      <w:r w:rsidRPr="000C437B">
        <w:rPr>
          <w:rFonts w:eastAsia="Calibri" w:cs="Times New Roman"/>
        </w:rPr>
        <w:t xml:space="preserve"> w szczególności jeżeli: </w:t>
      </w:r>
    </w:p>
    <w:p w14:paraId="491A0520" w14:textId="77777777" w:rsidR="000C437B" w:rsidRPr="000C437B" w:rsidRDefault="000C437B" w:rsidP="00C713EA">
      <w:pPr>
        <w:pStyle w:val="Akapitzlist"/>
        <w:numPr>
          <w:ilvl w:val="0"/>
          <w:numId w:val="11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jej treść nie odpowiada treści zapytania ofertowego lub zaproszenia do negocjacji; </w:t>
      </w:r>
    </w:p>
    <w:p w14:paraId="06437E43" w14:textId="77777777" w:rsidR="000C437B" w:rsidRPr="000C437B" w:rsidRDefault="000C437B" w:rsidP="00C713EA">
      <w:pPr>
        <w:pStyle w:val="Akapitzlist"/>
        <w:numPr>
          <w:ilvl w:val="0"/>
          <w:numId w:val="11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jej złożenie stanowi czyn nieuczciwej konkurencji w rozumieniu przepisów zwalczaniu </w:t>
      </w:r>
      <w:r w:rsidR="00A63213">
        <w:rPr>
          <w:rFonts w:eastAsia="Calibri" w:cs="Times New Roman"/>
        </w:rPr>
        <w:t xml:space="preserve">   </w:t>
      </w:r>
      <w:r w:rsidR="00A63213">
        <w:rPr>
          <w:rFonts w:eastAsia="Calibri" w:cs="Times New Roman"/>
        </w:rPr>
        <w:br/>
        <w:t xml:space="preserve">       </w:t>
      </w:r>
      <w:r w:rsidRPr="000C437B">
        <w:rPr>
          <w:rFonts w:eastAsia="Calibri" w:cs="Times New Roman"/>
        </w:rPr>
        <w:t xml:space="preserve">nieuczciwej konkurencji; </w:t>
      </w:r>
    </w:p>
    <w:p w14:paraId="664F7773" w14:textId="77777777" w:rsidR="000C437B" w:rsidRPr="000C437B" w:rsidRDefault="000C437B" w:rsidP="00C713EA">
      <w:pPr>
        <w:pStyle w:val="Akapitzlist"/>
        <w:numPr>
          <w:ilvl w:val="0"/>
          <w:numId w:val="11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została złożona przez Wykonawcę wykluczonego z udziału w postępowaniu </w:t>
      </w:r>
      <w:r>
        <w:rPr>
          <w:rFonts w:eastAsia="Calibri" w:cs="Times New Roman"/>
        </w:rPr>
        <w:t xml:space="preserve">udzielenie </w:t>
      </w:r>
      <w:r w:rsidR="00A63213">
        <w:rPr>
          <w:rFonts w:eastAsia="Calibri" w:cs="Times New Roman"/>
        </w:rPr>
        <w:br/>
        <w:t xml:space="preserve">       </w:t>
      </w:r>
      <w:r>
        <w:rPr>
          <w:rFonts w:eastAsia="Calibri" w:cs="Times New Roman"/>
        </w:rPr>
        <w:t>zamówienia</w:t>
      </w:r>
      <w:r w:rsidRPr="000C437B">
        <w:rPr>
          <w:rFonts w:eastAsia="Calibri" w:cs="Times New Roman"/>
        </w:rPr>
        <w:t xml:space="preserve">; </w:t>
      </w:r>
    </w:p>
    <w:p w14:paraId="11A66FF1" w14:textId="485AF79C" w:rsidR="000C437B" w:rsidRPr="000C437B" w:rsidRDefault="000C437B" w:rsidP="00C713EA">
      <w:pPr>
        <w:pStyle w:val="Akapitzlist"/>
        <w:numPr>
          <w:ilvl w:val="0"/>
          <w:numId w:val="11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Wykonawca w terminie 3 dni od dnia doręczenia zawiadomienia zgłosił sprzeciw</w:t>
      </w:r>
      <w:r>
        <w:rPr>
          <w:rFonts w:eastAsia="Calibri" w:cs="Times New Roman"/>
        </w:rPr>
        <w:t xml:space="preserve"> </w:t>
      </w:r>
      <w:r w:rsidRPr="000C437B">
        <w:rPr>
          <w:rFonts w:eastAsia="Calibri" w:cs="Times New Roman"/>
        </w:rPr>
        <w:t xml:space="preserve">na </w:t>
      </w:r>
      <w:r w:rsidR="00A63213">
        <w:rPr>
          <w:rFonts w:eastAsia="Calibri" w:cs="Times New Roman"/>
        </w:rPr>
        <w:br/>
        <w:t xml:space="preserve">       </w:t>
      </w:r>
      <w:r w:rsidR="0015292E">
        <w:rPr>
          <w:rFonts w:eastAsia="Calibri" w:cs="Times New Roman"/>
        </w:rPr>
        <w:t>poprawienie omyłki</w:t>
      </w:r>
      <w:r w:rsidR="00EF01E2">
        <w:rPr>
          <w:rFonts w:eastAsia="Calibri" w:cs="Times New Roman"/>
        </w:rPr>
        <w:t>, o której mowa w ust. 1</w:t>
      </w:r>
      <w:r w:rsidR="00806591">
        <w:rPr>
          <w:rFonts w:eastAsia="Calibri" w:cs="Times New Roman"/>
        </w:rPr>
        <w:t>3</w:t>
      </w:r>
      <w:r w:rsidR="00EF01E2">
        <w:rPr>
          <w:rFonts w:eastAsia="Calibri" w:cs="Times New Roman"/>
        </w:rPr>
        <w:t xml:space="preserve"> lit c)</w:t>
      </w:r>
      <w:r w:rsidR="0015292E">
        <w:rPr>
          <w:rFonts w:eastAsia="Calibri" w:cs="Times New Roman"/>
        </w:rPr>
        <w:t>;</w:t>
      </w:r>
    </w:p>
    <w:p w14:paraId="39211903" w14:textId="77777777" w:rsidR="000C437B" w:rsidRPr="000C437B" w:rsidRDefault="000C437B" w:rsidP="00C713EA">
      <w:pPr>
        <w:pStyle w:val="Akapitzlist"/>
        <w:numPr>
          <w:ilvl w:val="0"/>
          <w:numId w:val="11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ceny złożonych ofert dodatkowych są takie same;</w:t>
      </w:r>
    </w:p>
    <w:p w14:paraId="45C9653A" w14:textId="77777777" w:rsidR="000C437B" w:rsidRPr="000C437B" w:rsidRDefault="000C437B" w:rsidP="00C713EA">
      <w:pPr>
        <w:pStyle w:val="Akapitzlist"/>
        <w:numPr>
          <w:ilvl w:val="0"/>
          <w:numId w:val="11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jest niezgodna z innymi przepisami prawa. </w:t>
      </w:r>
    </w:p>
    <w:p w14:paraId="6FB763EE" w14:textId="77777777" w:rsidR="00F466AC" w:rsidRDefault="000C437B" w:rsidP="00E13040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F466AC">
        <w:rPr>
          <w:rFonts w:eastAsia="Calibri" w:cs="Times New Roman"/>
        </w:rPr>
        <w:t xml:space="preserve">Zamawiający bada złożone oferty pod względem ich zgodności z wymaganiami określonymi </w:t>
      </w:r>
      <w:r w:rsidR="009C723A" w:rsidRPr="00F466AC">
        <w:rPr>
          <w:rFonts w:eastAsia="Calibri" w:cs="Times New Roman"/>
        </w:rPr>
        <w:br/>
      </w:r>
      <w:r w:rsidRPr="00F466AC">
        <w:rPr>
          <w:rFonts w:eastAsia="Calibri" w:cs="Times New Roman"/>
        </w:rPr>
        <w:t>w zapytaniu ofertowym.</w:t>
      </w:r>
    </w:p>
    <w:p w14:paraId="78EB59ED" w14:textId="39543D10" w:rsidR="000C437B" w:rsidRPr="00F466AC" w:rsidRDefault="000C437B" w:rsidP="00E13040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F466AC">
        <w:rPr>
          <w:rFonts w:eastAsia="Calibri" w:cs="Times New Roman"/>
        </w:rPr>
        <w:t xml:space="preserve">Zamawiający w toku badania i oceny ofert może wezwać Wykonawców do uzupełnienia oferty, </w:t>
      </w:r>
      <w:r w:rsidR="009C723A" w:rsidRPr="00F466AC">
        <w:rPr>
          <w:rFonts w:eastAsia="Calibri" w:cs="Times New Roman"/>
        </w:rPr>
        <w:br/>
      </w:r>
      <w:r w:rsidRPr="00F466AC">
        <w:rPr>
          <w:rFonts w:eastAsia="Calibri" w:cs="Times New Roman"/>
        </w:rPr>
        <w:t xml:space="preserve">w szczególności o brakujące lub prawidłowe dokumenty, pełnomocnictwa  i oświadczenia wyznaczając w tym celu odpowiedni termin, chyba że mimo ich złożenia oferta lub wniosek Wykonawcy podlega odrzuceniu albo konieczne byłoby unieważnienie lub zamknięcie postępowania, lub oferta nie może zostać wybrana jako najkorzystniejsza. </w:t>
      </w:r>
    </w:p>
    <w:p w14:paraId="77E5DE2B" w14:textId="77777777" w:rsidR="000C437B" w:rsidRPr="000C437B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może wezwać, także w wyznaczonym przez siebie terminie, do złożenia wyjaśnień dotyczących wymaganych oświadczeń lub dokumentów.</w:t>
      </w:r>
    </w:p>
    <w:p w14:paraId="4889083D" w14:textId="77777777" w:rsidR="000C437B" w:rsidRPr="000C437B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Uzupełnienie oferty lub wniosku lub nadesłanie wyjaśnień po upływie terminu jest nieskuteczne.</w:t>
      </w:r>
    </w:p>
    <w:p w14:paraId="4C0DE64C" w14:textId="77777777" w:rsidR="00BE2F03" w:rsidRPr="00D7260A" w:rsidRDefault="00BE2F03" w:rsidP="00BE2F03">
      <w:pPr>
        <w:rPr>
          <w:rFonts w:eastAsia="Calibri" w:cs="Times New Roman"/>
        </w:rPr>
      </w:pPr>
      <w:r w:rsidRPr="00D7260A">
        <w:rPr>
          <w:rFonts w:eastAsia="Calibri" w:cs="Times New Roman"/>
          <w:b/>
        </w:rPr>
        <w:t>VI. Kryterium oceny ofert</w:t>
      </w:r>
      <w:r w:rsidRPr="00D7260A">
        <w:rPr>
          <w:rFonts w:eastAsia="Calibri" w:cs="Times New Roman"/>
        </w:rPr>
        <w:t xml:space="preserve">: </w:t>
      </w:r>
    </w:p>
    <w:p w14:paraId="4C48DF27" w14:textId="77777777" w:rsidR="003B542D" w:rsidRPr="009C723A" w:rsidRDefault="00BE2F03" w:rsidP="00A05A88">
      <w:pPr>
        <w:pStyle w:val="Akapitzlist"/>
        <w:numPr>
          <w:ilvl w:val="0"/>
          <w:numId w:val="13"/>
        </w:numPr>
        <w:ind w:left="284" w:hanging="284"/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Przy wyborze oferty najkorzystniejszej Zamawiający będzie stosował następujące kryteria </w:t>
      </w:r>
      <w:r w:rsidR="0028333E">
        <w:rPr>
          <w:rFonts w:eastAsia="Calibri" w:cs="Times New Roman"/>
        </w:rPr>
        <w:br/>
      </w:r>
      <w:r w:rsidRPr="009C723A">
        <w:rPr>
          <w:rFonts w:eastAsia="Calibri" w:cs="Times New Roman"/>
        </w:rPr>
        <w:t xml:space="preserve">i ich wagi: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7796"/>
      </w:tblGrid>
      <w:tr w:rsidR="00ED650F" w:rsidRPr="006B6508" w14:paraId="70BAEEA1" w14:textId="77777777" w:rsidTr="00ED65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A5CA70" w14:textId="77777777" w:rsidR="00ED650F" w:rsidRPr="00ED650F" w:rsidRDefault="00ED650F" w:rsidP="00A8775A">
            <w:pPr>
              <w:jc w:val="both"/>
              <w:rPr>
                <w:rFonts w:eastAsia="Calibri" w:cs="Times New Roman"/>
                <w:b/>
              </w:rPr>
            </w:pPr>
            <w:r w:rsidRPr="00ED650F">
              <w:rPr>
                <w:rFonts w:eastAsia="Calibri" w:cs="Times New Roman"/>
                <w:b/>
              </w:rPr>
              <w:t>Nr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FA69" w14:textId="77777777" w:rsidR="00ED650F" w:rsidRPr="00ED650F" w:rsidRDefault="00ED650F" w:rsidP="00A8775A">
            <w:pPr>
              <w:jc w:val="both"/>
              <w:rPr>
                <w:rFonts w:eastAsia="Calibri" w:cs="Times New Roman"/>
                <w:b/>
              </w:rPr>
            </w:pPr>
            <w:r w:rsidRPr="00ED650F">
              <w:rPr>
                <w:rFonts w:eastAsia="Calibri" w:cs="Times New Roman"/>
                <w:b/>
              </w:rPr>
              <w:t>Nazwa Kryterium</w:t>
            </w:r>
          </w:p>
        </w:tc>
      </w:tr>
      <w:tr w:rsidR="00ED650F" w:rsidRPr="006B6508" w14:paraId="712D3E77" w14:textId="77777777" w:rsidTr="00ED650F">
        <w:trPr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617EDD" w14:textId="77777777" w:rsidR="00ED650F" w:rsidRPr="006B6508" w:rsidRDefault="00ED650F" w:rsidP="00A8775A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BF2D" w14:textId="01C7AC08" w:rsidR="00ED650F" w:rsidRPr="006B6508" w:rsidRDefault="00ED650F" w:rsidP="00A8775A">
            <w:pPr>
              <w:spacing w:after="0"/>
              <w:jc w:val="both"/>
              <w:rPr>
                <w:rFonts w:eastAsia="Calibri" w:cs="Times New Roman"/>
              </w:rPr>
            </w:pPr>
            <w:r w:rsidRPr="006B6508">
              <w:rPr>
                <w:rFonts w:eastAsia="Calibri" w:cs="Times New Roman"/>
              </w:rPr>
              <w:t>Cena brutto</w:t>
            </w:r>
            <w:r w:rsidR="00A05A88">
              <w:rPr>
                <w:rFonts w:eastAsia="Calibri" w:cs="Times New Roman"/>
              </w:rPr>
              <w:t xml:space="preserve"> – 100%</w:t>
            </w:r>
          </w:p>
        </w:tc>
      </w:tr>
    </w:tbl>
    <w:p w14:paraId="5864E123" w14:textId="595A0143" w:rsidR="009C723A" w:rsidRPr="00396E83" w:rsidRDefault="009C723A" w:rsidP="00396E83">
      <w:pPr>
        <w:spacing w:after="160" w:line="259" w:lineRule="auto"/>
        <w:ind w:left="360"/>
        <w:rPr>
          <w:rFonts w:eastAsia="Calibri" w:cs="Times New Roman"/>
          <w:b/>
        </w:rPr>
      </w:pPr>
      <w:r w:rsidRPr="00396E83">
        <w:rPr>
          <w:rFonts w:eastAsia="Calibri" w:cs="Times New Roman"/>
        </w:rPr>
        <w:t xml:space="preserve">Kryterium </w:t>
      </w:r>
      <w:r w:rsidR="00657CA1" w:rsidRPr="00396E83">
        <w:rPr>
          <w:rFonts w:eastAsia="Calibri" w:cs="Times New Roman"/>
          <w:b/>
        </w:rPr>
        <w:t>„Cena brutto”</w:t>
      </w:r>
      <w:r w:rsidRPr="00396E83">
        <w:rPr>
          <w:rFonts w:eastAsia="Calibri" w:cs="Times New Roman"/>
        </w:rPr>
        <w:t xml:space="preserve"> będzie oceniane na podstawie podanej przez wykonawcę </w:t>
      </w:r>
      <w:r w:rsidR="0028333E" w:rsidRPr="00396E83">
        <w:rPr>
          <w:rFonts w:eastAsia="Calibri" w:cs="Times New Roman"/>
        </w:rPr>
        <w:br/>
      </w:r>
      <w:r w:rsidRPr="00396E83">
        <w:rPr>
          <w:rFonts w:eastAsia="Calibri" w:cs="Times New Roman"/>
        </w:rPr>
        <w:t>w ofercie ceny brutto wykonania zamówienia</w:t>
      </w:r>
      <w:r w:rsidR="004D76F7" w:rsidRPr="00396E83">
        <w:rPr>
          <w:rFonts w:eastAsia="Calibri" w:cs="Times New Roman"/>
        </w:rPr>
        <w:t>.</w:t>
      </w:r>
    </w:p>
    <w:p w14:paraId="4FF44743" w14:textId="51F81EE2" w:rsidR="00072BC2" w:rsidRPr="009C723A" w:rsidRDefault="00BE2F03" w:rsidP="00C713EA">
      <w:pPr>
        <w:pStyle w:val="Akapitzlist"/>
        <w:numPr>
          <w:ilvl w:val="0"/>
          <w:numId w:val="13"/>
        </w:numPr>
        <w:ind w:left="360"/>
        <w:jc w:val="both"/>
        <w:rPr>
          <w:rFonts w:eastAsia="Calibri" w:cs="Times New Roman"/>
        </w:rPr>
      </w:pPr>
      <w:r w:rsidRPr="009C723A">
        <w:rPr>
          <w:rFonts w:eastAsia="Calibri" w:cs="Times New Roman"/>
          <w:bCs/>
        </w:rPr>
        <w:t>Zamawiający wybierze ofertę</w:t>
      </w:r>
      <w:r w:rsidR="00A05A88">
        <w:rPr>
          <w:rFonts w:eastAsia="Calibri" w:cs="Times New Roman"/>
          <w:bCs/>
        </w:rPr>
        <w:t>, niepodlegającą odrzuceniu,</w:t>
      </w:r>
      <w:r w:rsidRPr="009C723A">
        <w:rPr>
          <w:rFonts w:eastAsia="Calibri" w:cs="Times New Roman"/>
          <w:bCs/>
        </w:rPr>
        <w:t xml:space="preserve"> z </w:t>
      </w:r>
      <w:r w:rsidR="000B26B7">
        <w:rPr>
          <w:rFonts w:eastAsia="Calibri" w:cs="Times New Roman"/>
          <w:bCs/>
        </w:rPr>
        <w:t>najniższą ceną</w:t>
      </w:r>
      <w:r w:rsidRPr="009C723A">
        <w:rPr>
          <w:rFonts w:eastAsia="Calibri" w:cs="Times New Roman"/>
          <w:bCs/>
        </w:rPr>
        <w:t>.</w:t>
      </w:r>
    </w:p>
    <w:p w14:paraId="2F151998" w14:textId="77777777" w:rsidR="009C723A" w:rsidRPr="009C723A" w:rsidRDefault="009C723A" w:rsidP="00C713EA">
      <w:pPr>
        <w:pStyle w:val="Akapitzlist"/>
        <w:numPr>
          <w:ilvl w:val="0"/>
          <w:numId w:val="13"/>
        </w:numPr>
        <w:ind w:left="360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14:paraId="578395FD" w14:textId="77777777" w:rsidR="009C723A" w:rsidRPr="0028333E" w:rsidRDefault="009C723A" w:rsidP="00C713EA">
      <w:pPr>
        <w:pStyle w:val="Akapitzlist"/>
        <w:numPr>
          <w:ilvl w:val="0"/>
          <w:numId w:val="13"/>
        </w:numPr>
        <w:ind w:left="360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Zamawiający unieważnia</w:t>
      </w:r>
      <w:r w:rsidR="008D6664">
        <w:rPr>
          <w:rFonts w:eastAsia="Calibri" w:cs="Times New Roman"/>
        </w:rPr>
        <w:t xml:space="preserve"> w całości lub części</w:t>
      </w:r>
      <w:r w:rsidRPr="009C723A">
        <w:rPr>
          <w:rFonts w:eastAsia="Calibri" w:cs="Times New Roman"/>
        </w:rPr>
        <w:t xml:space="preserve"> postępowanie o udzielenie zamówienia publicznego, </w:t>
      </w:r>
      <w:r w:rsidRPr="0028333E">
        <w:rPr>
          <w:rFonts w:eastAsia="Calibri" w:cs="Times New Roman"/>
        </w:rPr>
        <w:t xml:space="preserve">w szczególności jeżeli: </w:t>
      </w:r>
    </w:p>
    <w:p w14:paraId="6E1DE678" w14:textId="77777777" w:rsidR="009C723A" w:rsidRPr="0028333E" w:rsidRDefault="009C723A" w:rsidP="00C713EA">
      <w:pPr>
        <w:pStyle w:val="Akapitzlist"/>
        <w:numPr>
          <w:ilvl w:val="0"/>
          <w:numId w:val="14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nie złożono żadnej oferty niepodlegającej odrzuceniu </w:t>
      </w:r>
      <w:r w:rsidRPr="0028333E">
        <w:rPr>
          <w:rFonts w:eastAsia="Calibri" w:cs="Times New Roman"/>
        </w:rPr>
        <w:t>od Wykonawcy niepodlegającego wykluczeniu,</w:t>
      </w:r>
    </w:p>
    <w:p w14:paraId="0C1F8873" w14:textId="77777777" w:rsidR="009C723A" w:rsidRPr="00A63213" w:rsidRDefault="009C723A" w:rsidP="00C713EA">
      <w:pPr>
        <w:pStyle w:val="Akapitzlist"/>
        <w:numPr>
          <w:ilvl w:val="0"/>
          <w:numId w:val="14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cena najkorzystniejszej oferty lub oferta z najniższą ceną przewyższa kwotę,</w:t>
      </w:r>
      <w:r w:rsidR="00A63213">
        <w:rPr>
          <w:rFonts w:eastAsia="Calibri" w:cs="Times New Roman"/>
        </w:rPr>
        <w:t xml:space="preserve"> </w:t>
      </w:r>
      <w:r w:rsidRPr="00A63213">
        <w:rPr>
          <w:rFonts w:eastAsia="Calibri" w:cs="Times New Roman"/>
        </w:rPr>
        <w:t>którą Zamawiający zamierza przeznaczyć na sfinansowanie zamówienia i nie możliwe lub niecelowe jest zwiększenie kwoty;</w:t>
      </w:r>
    </w:p>
    <w:p w14:paraId="30C26B2F" w14:textId="77777777" w:rsidR="009C723A" w:rsidRPr="0028333E" w:rsidRDefault="009C723A" w:rsidP="00C713EA">
      <w:pPr>
        <w:pStyle w:val="Akapitzlist"/>
        <w:numPr>
          <w:ilvl w:val="0"/>
          <w:numId w:val="14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wystąpiła zmiana okoliczności powodująca, że prowadzenie postępowania </w:t>
      </w:r>
      <w:r w:rsidR="008D6664">
        <w:rPr>
          <w:rFonts w:eastAsia="Calibri" w:cs="Times New Roman"/>
        </w:rPr>
        <w:br/>
      </w:r>
      <w:r w:rsidRPr="0028333E">
        <w:rPr>
          <w:rFonts w:eastAsia="Calibri" w:cs="Times New Roman"/>
        </w:rPr>
        <w:t xml:space="preserve">o udzielenie zamówienia publicznego lub jego wykonanie nie leży w interesie Zamawiającego; </w:t>
      </w:r>
    </w:p>
    <w:p w14:paraId="2D96C7E3" w14:textId="77777777" w:rsidR="009C723A" w:rsidRPr="009C723A" w:rsidRDefault="009C723A" w:rsidP="00C713EA">
      <w:pPr>
        <w:pStyle w:val="Akapitzlist"/>
        <w:numPr>
          <w:ilvl w:val="0"/>
          <w:numId w:val="14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lastRenderedPageBreak/>
        <w:t>postępowanie obarczone jest niemożliwą do usunięcia wadą.</w:t>
      </w:r>
    </w:p>
    <w:p w14:paraId="0C7F12D4" w14:textId="77777777" w:rsidR="009C723A" w:rsidRPr="009C723A" w:rsidRDefault="009C723A" w:rsidP="00C713EA">
      <w:pPr>
        <w:pStyle w:val="Akapitzlist"/>
        <w:numPr>
          <w:ilvl w:val="0"/>
          <w:numId w:val="13"/>
        </w:numPr>
        <w:ind w:left="360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Zamawiający na każdym etapie może zamknąć postępowanie o udzielenie zamówienia publicznego bez dokonania wyboru oferty, nie podając przyczyny. </w:t>
      </w:r>
    </w:p>
    <w:p w14:paraId="02020DCF" w14:textId="77777777" w:rsidR="009C723A" w:rsidRPr="008D6664" w:rsidRDefault="009C723A" w:rsidP="00C713EA">
      <w:pPr>
        <w:pStyle w:val="Akapitzlist"/>
        <w:numPr>
          <w:ilvl w:val="0"/>
          <w:numId w:val="13"/>
        </w:numPr>
        <w:ind w:left="360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Zamawiający zawiadamia Wykonawców o unieważnieniu lub zamknięciu postępowania bez dokonania wyboru oferty – zamieszczając odpowiednią informację na stronie internetowej Zamawiającego.</w:t>
      </w:r>
    </w:p>
    <w:p w14:paraId="3478EFC9" w14:textId="6CEF3E08" w:rsidR="0033662B" w:rsidRPr="0033662B" w:rsidRDefault="000925F4" w:rsidP="0033662B">
      <w:pPr>
        <w:tabs>
          <w:tab w:val="left" w:pos="709"/>
          <w:tab w:val="left" w:pos="2268"/>
        </w:tabs>
        <w:spacing w:after="120"/>
        <w:ind w:left="142"/>
        <w:jc w:val="both"/>
        <w:rPr>
          <w:rFonts w:eastAsia="Calibri" w:cstheme="minorHAnsi"/>
        </w:rPr>
      </w:pPr>
      <w:r w:rsidRPr="00420A98">
        <w:rPr>
          <w:rFonts w:eastAsia="Calibri" w:cs="Times New Roman"/>
          <w:b/>
        </w:rPr>
        <w:t>VII.</w:t>
      </w:r>
      <w:r w:rsidRPr="00420A98">
        <w:rPr>
          <w:rFonts w:eastAsia="Calibri" w:cs="Times New Roman"/>
        </w:rPr>
        <w:t xml:space="preserve"> </w:t>
      </w:r>
      <w:r w:rsidR="0033662B" w:rsidRPr="0033662B">
        <w:rPr>
          <w:rFonts w:eastAsia="Calibri" w:cstheme="minorHAnsi"/>
        </w:rPr>
        <w:t xml:space="preserve">Zgodnie z art. 13 ust. 1 i 2 rozporządzenia Parlamentu Europejskiego i Rady (UE) 2016/679 </w:t>
      </w:r>
      <w:r w:rsidR="0033662B">
        <w:rPr>
          <w:rFonts w:eastAsia="Calibri" w:cstheme="minorHAnsi"/>
        </w:rPr>
        <w:br/>
      </w:r>
      <w:r w:rsidR="0033662B" w:rsidRPr="0033662B">
        <w:rPr>
          <w:rFonts w:eastAsia="Calibri" w:cstheme="minorHAnsi"/>
        </w:rPr>
        <w:t>z dnia 27 kwietnia 2016 r. (Dz. Urz. UE L 119 z 04.05.2016 r.), dalej „RODO”, Ośrodek Rozwoju Edukacji w Warszawie</w:t>
      </w:r>
      <w:r w:rsidR="0033662B" w:rsidRPr="0033662B" w:rsidDel="00EB58F0">
        <w:rPr>
          <w:rFonts w:eastAsia="Calibri" w:cstheme="minorHAnsi"/>
        </w:rPr>
        <w:t xml:space="preserve"> </w:t>
      </w:r>
      <w:r w:rsidR="0033662B" w:rsidRPr="0033662B">
        <w:rPr>
          <w:rFonts w:eastAsia="Calibri" w:cstheme="minorHAnsi"/>
        </w:rPr>
        <w:t>informuje, że:</w:t>
      </w:r>
    </w:p>
    <w:p w14:paraId="1E93CFC2" w14:textId="77777777" w:rsidR="0033662B" w:rsidRPr="0033662B" w:rsidRDefault="0033662B" w:rsidP="0033662B">
      <w:pPr>
        <w:numPr>
          <w:ilvl w:val="0"/>
          <w:numId w:val="63"/>
        </w:numPr>
        <w:tabs>
          <w:tab w:val="left" w:pos="709"/>
          <w:tab w:val="left" w:pos="2268"/>
        </w:tabs>
        <w:spacing w:after="120"/>
        <w:ind w:left="709" w:hanging="357"/>
        <w:jc w:val="both"/>
        <w:rPr>
          <w:rFonts w:eastAsia="Calibri" w:cstheme="minorHAnsi"/>
        </w:rPr>
      </w:pPr>
      <w:r w:rsidRPr="0033662B">
        <w:rPr>
          <w:rFonts w:eastAsia="Calibri" w:cstheme="minorHAnsi"/>
        </w:rPr>
        <w:t xml:space="preserve">Administratorem Pani/Pana danych osobowych jest Ośrodek Rozwoju Edukacji z siedzibą </w:t>
      </w:r>
      <w:r w:rsidRPr="0033662B">
        <w:rPr>
          <w:rFonts w:eastAsia="Calibri" w:cstheme="minorHAnsi"/>
        </w:rPr>
        <w:br/>
        <w:t xml:space="preserve">w Warszawie (00-478), Aleje Ujazdowskie 28, e-mail: sekretariat@ore.edu.pl, </w:t>
      </w:r>
      <w:r w:rsidRPr="0033662B">
        <w:rPr>
          <w:rFonts w:eastAsia="Calibri" w:cstheme="minorHAnsi"/>
        </w:rPr>
        <w:br/>
        <w:t>tel. 22 345 37 00;</w:t>
      </w:r>
    </w:p>
    <w:p w14:paraId="27960D5F" w14:textId="77777777" w:rsidR="0033662B" w:rsidRPr="0033662B" w:rsidRDefault="0033662B" w:rsidP="0033662B">
      <w:pPr>
        <w:numPr>
          <w:ilvl w:val="0"/>
          <w:numId w:val="63"/>
        </w:numPr>
        <w:tabs>
          <w:tab w:val="left" w:pos="709"/>
          <w:tab w:val="left" w:pos="2268"/>
        </w:tabs>
        <w:spacing w:after="120"/>
        <w:ind w:left="709" w:hanging="357"/>
        <w:jc w:val="both"/>
        <w:rPr>
          <w:rFonts w:eastAsia="Calibri" w:cstheme="minorHAnsi"/>
        </w:rPr>
      </w:pPr>
      <w:r w:rsidRPr="0033662B">
        <w:rPr>
          <w:rFonts w:eastAsia="Calibri" w:cstheme="minorHAnsi"/>
        </w:rPr>
        <w:t xml:space="preserve">W sprawach dotyczących przetwarzania danych osobowych może się Pani/Pan skontaktować </w:t>
      </w:r>
      <w:r w:rsidRPr="0033662B">
        <w:rPr>
          <w:rFonts w:eastAsia="Calibri" w:cstheme="minorHAnsi"/>
        </w:rPr>
        <w:br/>
        <w:t>z Inspektorem Ochrony Danych poprzez e-mail: iod@ore.edu.pl;</w:t>
      </w:r>
    </w:p>
    <w:p w14:paraId="428BC712" w14:textId="1976EA18" w:rsidR="0033662B" w:rsidRPr="0033662B" w:rsidRDefault="0033662B" w:rsidP="0033662B">
      <w:pPr>
        <w:numPr>
          <w:ilvl w:val="0"/>
          <w:numId w:val="63"/>
        </w:numPr>
        <w:tabs>
          <w:tab w:val="left" w:pos="709"/>
          <w:tab w:val="left" w:pos="2268"/>
        </w:tabs>
        <w:spacing w:after="120"/>
        <w:ind w:left="709" w:hanging="357"/>
        <w:jc w:val="both"/>
        <w:rPr>
          <w:rFonts w:eastAsia="Times New Roman" w:cstheme="minorHAnsi"/>
          <w:lang w:eastAsia="pl-PL"/>
        </w:rPr>
      </w:pPr>
      <w:r w:rsidRPr="0033662B">
        <w:rPr>
          <w:rFonts w:eastAsia="Times New Roman" w:cstheme="minorHAnsi"/>
          <w:lang w:eastAsia="pl-PL"/>
        </w:rPr>
        <w:t xml:space="preserve">Pani/Pana dane osobowe przetwarzane będą w celu związanym z postępowaniem </w:t>
      </w:r>
      <w:r>
        <w:rPr>
          <w:rFonts w:eastAsia="Times New Roman" w:cstheme="minorHAnsi"/>
          <w:lang w:eastAsia="pl-PL"/>
        </w:rPr>
        <w:br/>
      </w:r>
      <w:r w:rsidRPr="0033662B">
        <w:rPr>
          <w:rFonts w:eastAsia="Times New Roman" w:cstheme="minorHAnsi"/>
          <w:lang w:eastAsia="pl-PL"/>
        </w:rPr>
        <w:t>o udzielenie zamówienia publicznego zgodnie z obowiązującymi przepisami prawa;</w:t>
      </w:r>
    </w:p>
    <w:p w14:paraId="0760DFA9" w14:textId="493EB1E8" w:rsidR="0033662B" w:rsidRPr="0033662B" w:rsidRDefault="0033662B" w:rsidP="0033662B">
      <w:pPr>
        <w:numPr>
          <w:ilvl w:val="0"/>
          <w:numId w:val="63"/>
        </w:numPr>
        <w:tabs>
          <w:tab w:val="left" w:pos="709"/>
          <w:tab w:val="left" w:pos="2268"/>
        </w:tabs>
        <w:spacing w:after="120"/>
        <w:ind w:left="709"/>
        <w:contextualSpacing/>
        <w:jc w:val="both"/>
        <w:rPr>
          <w:rFonts w:eastAsia="Times New Roman" w:cstheme="minorHAnsi"/>
          <w:lang w:eastAsia="pl-PL"/>
        </w:rPr>
      </w:pPr>
      <w:r w:rsidRPr="0033662B">
        <w:rPr>
          <w:rFonts w:eastAsia="Times New Roman" w:cstheme="minorHAnsi"/>
          <w:lang w:eastAsia="pl-PL"/>
        </w:rPr>
        <w:t xml:space="preserve">Odbiorcami Pani/Pana danych osobowych mogą być osoby lub podmioty, którym udostępniona zostanie dokumentacja postępowania w oparciu o art. 8 oraz art. 96 </w:t>
      </w:r>
      <w:r>
        <w:rPr>
          <w:rFonts w:eastAsia="Times New Roman" w:cstheme="minorHAnsi"/>
          <w:lang w:eastAsia="pl-PL"/>
        </w:rPr>
        <w:br/>
      </w:r>
      <w:r w:rsidRPr="0033662B">
        <w:rPr>
          <w:rFonts w:eastAsia="Times New Roman" w:cstheme="minorHAnsi"/>
          <w:lang w:eastAsia="pl-PL"/>
        </w:rPr>
        <w:t>ust. 3 ustawy z dnia 29 stycznia 2004 r. Prawo zamówień publicznych (tekst jedn. Dz.U. 201</w:t>
      </w:r>
      <w:r w:rsidR="00A05A88">
        <w:rPr>
          <w:rFonts w:eastAsia="Times New Roman" w:cstheme="minorHAnsi"/>
          <w:lang w:eastAsia="pl-PL"/>
        </w:rPr>
        <w:t>9</w:t>
      </w:r>
      <w:r w:rsidRPr="0033662B">
        <w:rPr>
          <w:rFonts w:eastAsia="Times New Roman" w:cstheme="minorHAnsi"/>
          <w:lang w:eastAsia="pl-PL"/>
        </w:rPr>
        <w:t xml:space="preserve"> </w:t>
      </w:r>
      <w:r w:rsidRPr="0033662B">
        <w:rPr>
          <w:rFonts w:eastAsia="Times New Roman" w:cstheme="minorHAnsi"/>
          <w:lang w:eastAsia="pl-PL"/>
        </w:rPr>
        <w:br/>
        <w:t>poz. 1</w:t>
      </w:r>
      <w:r w:rsidR="00A05A88">
        <w:rPr>
          <w:rFonts w:eastAsia="Times New Roman" w:cstheme="minorHAnsi"/>
          <w:lang w:eastAsia="pl-PL"/>
        </w:rPr>
        <w:t>843</w:t>
      </w:r>
      <w:r w:rsidRPr="0033662B">
        <w:rPr>
          <w:rFonts w:eastAsia="Times New Roman" w:cstheme="minorHAnsi"/>
          <w:lang w:eastAsia="pl-PL"/>
        </w:rPr>
        <w:t xml:space="preserve"> z późn. zm.), dalej „ustawa Pzp” lub na wniosek, o którym mowa w art. 10 ust. 1  oraz art. 14 ust. 1 ustawy z dnia 6 września 2001 r. o dostępie do informacji publicznej </w:t>
      </w:r>
      <w:r w:rsidRPr="0033662B">
        <w:rPr>
          <w:rFonts w:eastAsia="Times New Roman" w:cstheme="minorHAnsi"/>
          <w:lang w:eastAsia="pl-PL"/>
        </w:rPr>
        <w:br/>
        <w:t>(tekst jedn. Dz.U. 201</w:t>
      </w:r>
      <w:r w:rsidR="009C38BA">
        <w:rPr>
          <w:rFonts w:eastAsia="Times New Roman" w:cstheme="minorHAnsi"/>
          <w:lang w:eastAsia="pl-PL"/>
        </w:rPr>
        <w:t>9</w:t>
      </w:r>
      <w:r w:rsidRPr="0033662B">
        <w:rPr>
          <w:rFonts w:eastAsia="Times New Roman" w:cstheme="minorHAnsi"/>
          <w:lang w:eastAsia="pl-PL"/>
        </w:rPr>
        <w:t xml:space="preserve"> poz. 1</w:t>
      </w:r>
      <w:r w:rsidR="009C38BA">
        <w:rPr>
          <w:rFonts w:eastAsia="Times New Roman" w:cstheme="minorHAnsi"/>
          <w:lang w:eastAsia="pl-PL"/>
        </w:rPr>
        <w:t>429</w:t>
      </w:r>
      <w:r w:rsidRPr="0033662B">
        <w:rPr>
          <w:rFonts w:eastAsia="Times New Roman" w:cstheme="minorHAnsi"/>
          <w:lang w:eastAsia="pl-PL"/>
        </w:rPr>
        <w:t xml:space="preserve"> ze zm.),  podmioty upoważnione na podstawie przepisów prawa, a także podmioty świadczące usługi na rzecz administratora;</w:t>
      </w:r>
    </w:p>
    <w:p w14:paraId="2A711795" w14:textId="77777777" w:rsidR="0033662B" w:rsidRPr="0033662B" w:rsidRDefault="0033662B" w:rsidP="0033662B">
      <w:pPr>
        <w:pStyle w:val="Akapitzlist"/>
        <w:numPr>
          <w:ilvl w:val="0"/>
          <w:numId w:val="63"/>
        </w:numPr>
        <w:tabs>
          <w:tab w:val="left" w:pos="709"/>
          <w:tab w:val="left" w:pos="2268"/>
        </w:tabs>
        <w:spacing w:after="120"/>
        <w:ind w:left="709"/>
        <w:jc w:val="both"/>
        <w:rPr>
          <w:rFonts w:cstheme="minorHAnsi"/>
          <w:u w:val="single"/>
        </w:rPr>
      </w:pPr>
      <w:r w:rsidRPr="0033662B">
        <w:rPr>
          <w:rFonts w:eastAsia="Times New Roman" w:cstheme="minorHAnsi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 w:rsidRPr="0033662B">
        <w:rPr>
          <w:rFonts w:cstheme="minorHAnsi"/>
        </w:rPr>
        <w:t xml:space="preserve"> a po jego zakończeniu czas wymagany przez przepisy powszechnie obowiązującego prawa</w:t>
      </w:r>
      <w:r w:rsidRPr="0033662B">
        <w:rPr>
          <w:rFonts w:eastAsia="Times New Roman" w:cstheme="minorHAnsi"/>
          <w:lang w:eastAsia="pl-PL"/>
        </w:rPr>
        <w:t>;</w:t>
      </w:r>
    </w:p>
    <w:p w14:paraId="4FA28A04" w14:textId="77777777" w:rsidR="0033662B" w:rsidRPr="0033662B" w:rsidRDefault="0033662B" w:rsidP="0033662B">
      <w:pPr>
        <w:numPr>
          <w:ilvl w:val="0"/>
          <w:numId w:val="63"/>
        </w:numPr>
        <w:tabs>
          <w:tab w:val="left" w:pos="709"/>
          <w:tab w:val="left" w:pos="2268"/>
        </w:tabs>
        <w:spacing w:after="120"/>
        <w:ind w:left="709" w:hanging="357"/>
        <w:jc w:val="both"/>
        <w:rPr>
          <w:rFonts w:eastAsia="Times New Roman" w:cstheme="minorHAnsi"/>
          <w:lang w:eastAsia="pl-PL"/>
        </w:rPr>
      </w:pPr>
      <w:r w:rsidRPr="0033662B">
        <w:rPr>
          <w:rFonts w:eastAsia="Times New Roman" w:cstheme="minorHAnsi"/>
          <w:lang w:eastAsia="pl-PL"/>
        </w:rPr>
        <w:t xml:space="preserve">Podanie danych osobowych Pani/Pana dotyczących jest dobrowolne ale niezbędne w celu wzięcia udziału w postępowaniu o udzielenie zamówienia publicznego na etapie szacowania wartości zamówienia; </w:t>
      </w:r>
    </w:p>
    <w:p w14:paraId="2995A1F5" w14:textId="708ACDAE" w:rsidR="0033662B" w:rsidRPr="0033662B" w:rsidRDefault="0033662B" w:rsidP="0033662B">
      <w:pPr>
        <w:numPr>
          <w:ilvl w:val="0"/>
          <w:numId w:val="63"/>
        </w:numPr>
        <w:tabs>
          <w:tab w:val="left" w:pos="709"/>
          <w:tab w:val="left" w:pos="2268"/>
        </w:tabs>
        <w:spacing w:after="120"/>
        <w:ind w:left="709" w:hanging="357"/>
        <w:jc w:val="both"/>
        <w:rPr>
          <w:rFonts w:eastAsia="Times New Roman" w:cstheme="minorHAnsi"/>
          <w:lang w:eastAsia="pl-PL"/>
        </w:rPr>
      </w:pPr>
      <w:r w:rsidRPr="0033662B">
        <w:rPr>
          <w:rFonts w:eastAsia="Times New Roman" w:cstheme="minorHAnsi"/>
          <w:lang w:eastAsia="pl-PL"/>
        </w:rPr>
        <w:t xml:space="preserve">Pani/Pana dane osobowe nie będą podlegały zautomatyzowanemu podejmowaniu decyzji </w:t>
      </w:r>
      <w:r w:rsidRPr="0033662B">
        <w:rPr>
          <w:rFonts w:eastAsia="Times New Roman" w:cstheme="minorHAnsi"/>
          <w:lang w:eastAsia="pl-PL"/>
        </w:rPr>
        <w:br/>
        <w:t>w tym również profilowaniu;</w:t>
      </w:r>
    </w:p>
    <w:p w14:paraId="3107C053" w14:textId="053BDA44" w:rsidR="0033662B" w:rsidRPr="0033662B" w:rsidRDefault="0033662B" w:rsidP="0033662B">
      <w:pPr>
        <w:pStyle w:val="Akapitzlist"/>
        <w:numPr>
          <w:ilvl w:val="0"/>
          <w:numId w:val="63"/>
        </w:numPr>
        <w:spacing w:after="0"/>
        <w:ind w:left="709"/>
        <w:jc w:val="both"/>
        <w:rPr>
          <w:rFonts w:eastAsia="Times New Roman" w:cstheme="minorHAnsi"/>
          <w:lang w:eastAsia="pl-PL"/>
        </w:rPr>
      </w:pPr>
      <w:r w:rsidRPr="0033662B">
        <w:rPr>
          <w:rFonts w:eastAsia="Times New Roman" w:cstheme="minorHAnsi"/>
          <w:lang w:eastAsia="pl-PL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  <w:r w:rsidR="00A05A88">
        <w:rPr>
          <w:rFonts w:eastAsia="Times New Roman" w:cstheme="minorHAnsi"/>
          <w:lang w:eastAsia="pl-PL"/>
        </w:rPr>
        <w:t xml:space="preserve"> N</w:t>
      </w:r>
      <w:r w:rsidRPr="0033662B">
        <w:rPr>
          <w:rFonts w:eastAsia="Times New Roman" w:cstheme="minorHAnsi"/>
          <w:lang w:eastAsia="pl-PL"/>
        </w:rPr>
        <w:t>a podstawie art. 21 RODO prawo sprzeciwu, wobec przetwarzania danych osobowych, gdyż podstawą prawną przetwarzania Pani/Pana danych osobowych jest art. 6 ust. 1 lit. c RODO.</w:t>
      </w:r>
    </w:p>
    <w:p w14:paraId="18018140" w14:textId="77777777" w:rsidR="0033662B" w:rsidRPr="007C219A" w:rsidRDefault="0033662B" w:rsidP="0033662B">
      <w:pPr>
        <w:tabs>
          <w:tab w:val="left" w:pos="709"/>
          <w:tab w:val="left" w:pos="2268"/>
        </w:tabs>
        <w:spacing w:after="120"/>
        <w:ind w:left="142"/>
        <w:jc w:val="both"/>
        <w:rPr>
          <w:rFonts w:asciiTheme="majorHAnsi" w:eastAsia="Times New Roman" w:hAnsiTheme="majorHAnsi" w:cs="Arial"/>
          <w:lang w:eastAsia="pl-PL"/>
        </w:rPr>
      </w:pPr>
    </w:p>
    <w:p w14:paraId="129EB891" w14:textId="3E8BDB25" w:rsidR="000E1DD2" w:rsidRDefault="000E1DD2" w:rsidP="00580877">
      <w:pPr>
        <w:spacing w:after="0"/>
        <w:rPr>
          <w:rFonts w:eastAsia="Calibri" w:cs="Times New Roman"/>
        </w:rPr>
      </w:pPr>
    </w:p>
    <w:p w14:paraId="06D0E07E" w14:textId="213FA5B5" w:rsidR="00A05A88" w:rsidRPr="00396E83" w:rsidRDefault="000A171B" w:rsidP="00A05A88">
      <w:pPr>
        <w:spacing w:after="0" w:line="240" w:lineRule="auto"/>
        <w:rPr>
          <w:rFonts w:eastAsia="Calibri" w:cs="Arial"/>
          <w:b/>
          <w:color w:val="000000" w:themeColor="text1"/>
        </w:rPr>
      </w:pPr>
      <w:r w:rsidRPr="00396E83">
        <w:rPr>
          <w:rFonts w:eastAsia="Calibri" w:cs="Times New Roman"/>
          <w:b/>
          <w:color w:val="000000" w:themeColor="text1"/>
        </w:rPr>
        <w:lastRenderedPageBreak/>
        <w:t>VII</w:t>
      </w:r>
      <w:r w:rsidR="00A05A88" w:rsidRPr="00396E83">
        <w:rPr>
          <w:rFonts w:eastAsia="Calibri" w:cs="Times New Roman"/>
          <w:b/>
          <w:color w:val="000000" w:themeColor="text1"/>
        </w:rPr>
        <w:t>I.</w:t>
      </w:r>
      <w:r w:rsidR="00A05A88" w:rsidRPr="00396E83">
        <w:rPr>
          <w:rFonts w:eastAsia="Calibri" w:cs="Times New Roman"/>
          <w:color w:val="000000" w:themeColor="text1"/>
        </w:rPr>
        <w:t xml:space="preserve"> </w:t>
      </w:r>
      <w:r w:rsidR="00A05A88" w:rsidRPr="00396E83">
        <w:rPr>
          <w:rFonts w:eastAsia="Calibri" w:cs="Arial"/>
          <w:b/>
          <w:color w:val="000000" w:themeColor="text1"/>
        </w:rPr>
        <w:t>Uwagi końcowe</w:t>
      </w:r>
    </w:p>
    <w:p w14:paraId="1640EF8F" w14:textId="77777777" w:rsidR="00A05A88" w:rsidRPr="00396E83" w:rsidRDefault="00A05A88" w:rsidP="00A05A88">
      <w:pPr>
        <w:spacing w:after="0" w:line="240" w:lineRule="auto"/>
        <w:rPr>
          <w:rFonts w:eastAsia="Calibri" w:cs="Arial"/>
          <w:b/>
          <w:color w:val="000000" w:themeColor="text1"/>
        </w:rPr>
      </w:pPr>
      <w:r w:rsidRPr="00396E83">
        <w:rPr>
          <w:rFonts w:eastAsia="Calibri" w:cs="Arial"/>
          <w:b/>
          <w:color w:val="000000" w:themeColor="text1"/>
        </w:rPr>
        <w:tab/>
      </w:r>
    </w:p>
    <w:p w14:paraId="00D3528F" w14:textId="112BA40F" w:rsidR="009C38BA" w:rsidRPr="00A74A50" w:rsidRDefault="00A05A88" w:rsidP="009C38BA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eastAsia="Calibri" w:cs="Arial"/>
          <w:color w:val="000000" w:themeColor="text1"/>
        </w:rPr>
      </w:pPr>
      <w:r w:rsidRPr="00A74A50">
        <w:rPr>
          <w:color w:val="000000" w:themeColor="text1"/>
        </w:rPr>
        <w:t xml:space="preserve">Postępowanie </w:t>
      </w:r>
      <w:r w:rsidRPr="00A74A50">
        <w:rPr>
          <w:bCs/>
          <w:iCs/>
          <w:color w:val="000000" w:themeColor="text1"/>
        </w:rPr>
        <w:t xml:space="preserve">o udzielenie zamówienia  publicznego prowadzone jest na podstawie   Regulaminu udzielania zamówień publicznych w Ośrodku Rozwoju Edukacji </w:t>
      </w:r>
      <w:r w:rsidRPr="00A74A50">
        <w:rPr>
          <w:bCs/>
          <w:iCs/>
          <w:color w:val="000000" w:themeColor="text1"/>
        </w:rPr>
        <w:br/>
        <w:t>w Warszawie</w:t>
      </w:r>
      <w:r w:rsidR="009C38BA" w:rsidRPr="00A74A50">
        <w:rPr>
          <w:bCs/>
          <w:iCs/>
          <w:color w:val="000000" w:themeColor="text1"/>
        </w:rPr>
        <w:t xml:space="preserve">, </w:t>
      </w:r>
      <w:r w:rsidR="009C38BA" w:rsidRPr="00A74A50">
        <w:rPr>
          <w:rFonts w:ascii="Calibri" w:eastAsia="Times New Roman" w:hAnsi="Calibri" w:cs="Times New Roman"/>
          <w:color w:val="000000" w:themeColor="text1"/>
          <w:lang w:eastAsia="pl-PL"/>
        </w:rPr>
        <w:t>do których nie stosuje się ustawy Prawo zamówień publicznych.</w:t>
      </w:r>
    </w:p>
    <w:p w14:paraId="41BDEC6F" w14:textId="6DB12183" w:rsidR="00A05A88" w:rsidRPr="00A74A50" w:rsidRDefault="00A05A88" w:rsidP="00A05A88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eastAsia="Calibri" w:cs="Arial"/>
          <w:color w:val="000000" w:themeColor="text1"/>
        </w:rPr>
      </w:pPr>
      <w:r w:rsidRPr="00A74A50">
        <w:rPr>
          <w:rFonts w:eastAsia="Calibri" w:cs="Arial"/>
          <w:color w:val="000000" w:themeColor="text1"/>
        </w:rPr>
        <w:t>Zamawiający zastrzega sobie prawo do zamknięcia postępowania o udzielenie zamówienia bez   podawania przyczyny na każdym etapie postępowania.</w:t>
      </w:r>
    </w:p>
    <w:p w14:paraId="3F5F8312" w14:textId="4FBC0B40" w:rsidR="009C38BA" w:rsidRPr="00A74A50" w:rsidRDefault="009C38BA" w:rsidP="00396E83">
      <w:pPr>
        <w:pStyle w:val="Akapitzlist"/>
        <w:numPr>
          <w:ilvl w:val="0"/>
          <w:numId w:val="64"/>
        </w:numPr>
        <w:shd w:val="clear" w:color="auto" w:fill="FFFFFF"/>
        <w:spacing w:after="120" w:line="253" w:lineRule="atLeast"/>
        <w:jc w:val="both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A74A50">
        <w:rPr>
          <w:rFonts w:ascii="Calibri" w:eastAsia="Times New Roman" w:hAnsi="Calibri" w:cs="Times New Roman"/>
          <w:color w:val="000000" w:themeColor="text1"/>
          <w:lang w:eastAsia="pl-PL"/>
        </w:rPr>
        <w:t>Zamawiający wykluczy z postępowania Wykonawców, którzy nie spełniają warunków udziału w postępowaniu. Ofertę Wykonawcy wykluczonego z postępowania uznaje się za odrzuconą.</w:t>
      </w:r>
    </w:p>
    <w:p w14:paraId="2E243671" w14:textId="77777777" w:rsidR="00A05A88" w:rsidRPr="00A74A50" w:rsidRDefault="00A05A88" w:rsidP="00A05A88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eastAsia="Calibri" w:cs="Arial"/>
          <w:color w:val="000000" w:themeColor="text1"/>
        </w:rPr>
      </w:pPr>
      <w:r w:rsidRPr="00A74A50">
        <w:rPr>
          <w:rFonts w:eastAsia="Calibri" w:cs="Arial"/>
          <w:color w:val="000000" w:themeColor="text1"/>
        </w:rPr>
        <w:t>Wykonawcy uczestniczą w postępowaniu na własne ryzyko i koszt, nie przysługują im żadne    roszczenia z tytułu zamknięcia lub unieważnienia postępowania przez Zamawiającego.</w:t>
      </w:r>
    </w:p>
    <w:p w14:paraId="3E4957E8" w14:textId="77777777" w:rsidR="00A05A88" w:rsidRPr="00A74A50" w:rsidRDefault="00A05A88" w:rsidP="00A05A88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eastAsia="Calibri" w:cs="Arial"/>
          <w:color w:val="000000" w:themeColor="text1"/>
        </w:rPr>
      </w:pPr>
      <w:r w:rsidRPr="00A74A50">
        <w:rPr>
          <w:rFonts w:eastAsia="Calibri" w:cs="Arial"/>
          <w:color w:val="000000" w:themeColor="text1"/>
        </w:rPr>
        <w:t xml:space="preserve">Ocena zgodności ofert z wymaganiami Zamawiającego przeprowadzona zostanie na podstawie analizy dokumentów i materiałów, jakie Wykonawca zawarł w swej ofercie. </w:t>
      </w:r>
    </w:p>
    <w:p w14:paraId="1EBE245E" w14:textId="77777777" w:rsidR="00A05A88" w:rsidRPr="00A74A50" w:rsidRDefault="00A05A88" w:rsidP="00A05A88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eastAsia="Calibri" w:cs="Arial"/>
          <w:color w:val="000000" w:themeColor="text1"/>
        </w:rPr>
      </w:pPr>
      <w:r w:rsidRPr="00A74A50">
        <w:rPr>
          <w:rFonts w:eastAsia="Calibri" w:cs="Arial"/>
          <w:color w:val="000000" w:themeColor="text1"/>
        </w:rPr>
        <w:t>Zamawiający zastrzega sobie prawo sprawdzania w toku oceny ofert wiarygodności przedstawionych przez Wykonawców dokumentów, wykazów, danych i informacji.</w:t>
      </w:r>
    </w:p>
    <w:p w14:paraId="7F85EFC1" w14:textId="77777777" w:rsidR="00A05A88" w:rsidRPr="00A74A50" w:rsidRDefault="00A05A88" w:rsidP="00A05A88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eastAsia="Calibri" w:cs="Arial"/>
          <w:color w:val="000000" w:themeColor="text1"/>
        </w:rPr>
      </w:pPr>
      <w:r w:rsidRPr="00A74A50">
        <w:rPr>
          <w:color w:val="000000" w:themeColor="text1"/>
        </w:rPr>
        <w:t>Wynagrodzenie będzie płatne  w terminie 30 dni od daty wykonania umowy przez Wykonawcę od dnia dostarczenia przez Wykonawcę prawidłowo wystawionej faktury VAT.</w:t>
      </w:r>
    </w:p>
    <w:p w14:paraId="504BB580" w14:textId="77777777" w:rsidR="00A05A88" w:rsidRPr="00A74A50" w:rsidRDefault="00A05A88" w:rsidP="00A05A88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eastAsia="Calibri" w:cs="Arial"/>
          <w:color w:val="000000" w:themeColor="text1"/>
        </w:rPr>
      </w:pPr>
      <w:r w:rsidRPr="00A74A50">
        <w:rPr>
          <w:color w:val="000000" w:themeColor="text1"/>
        </w:rPr>
        <w:t xml:space="preserve"> Z wykonania umowy strony sporządzą protokół odbioru.</w:t>
      </w:r>
    </w:p>
    <w:p w14:paraId="1662E0A7" w14:textId="77777777" w:rsidR="004E4065" w:rsidRPr="00396E83" w:rsidRDefault="004E4065" w:rsidP="00580877">
      <w:pPr>
        <w:spacing w:after="0"/>
        <w:rPr>
          <w:rFonts w:eastAsia="Calibri" w:cs="Times New Roman"/>
          <w:color w:val="000000" w:themeColor="text1"/>
        </w:rPr>
      </w:pPr>
    </w:p>
    <w:p w14:paraId="4B6157B5" w14:textId="77777777" w:rsidR="00580877" w:rsidRPr="00396E83" w:rsidRDefault="00580877" w:rsidP="00580877">
      <w:pPr>
        <w:spacing w:after="0"/>
        <w:rPr>
          <w:rFonts w:eastAsia="Calibri" w:cs="Times New Roman"/>
          <w:color w:val="000000" w:themeColor="text1"/>
        </w:rPr>
      </w:pPr>
      <w:r w:rsidRPr="00396E83">
        <w:rPr>
          <w:rFonts w:eastAsia="Calibri" w:cs="Times New Roman"/>
          <w:color w:val="000000" w:themeColor="text1"/>
        </w:rPr>
        <w:t xml:space="preserve">Załączniki do Zapytania ofertowego: </w:t>
      </w:r>
    </w:p>
    <w:p w14:paraId="706E91D1" w14:textId="64311308" w:rsidR="00580877" w:rsidRPr="00396E83" w:rsidRDefault="00580877" w:rsidP="00C713EA">
      <w:pPr>
        <w:pStyle w:val="Akapitzlist"/>
        <w:numPr>
          <w:ilvl w:val="0"/>
          <w:numId w:val="15"/>
        </w:numPr>
        <w:tabs>
          <w:tab w:val="left" w:pos="284"/>
        </w:tabs>
        <w:rPr>
          <w:rFonts w:eastAsia="Calibri" w:cs="Times New Roman"/>
          <w:color w:val="000000" w:themeColor="text1"/>
        </w:rPr>
      </w:pPr>
      <w:r w:rsidRPr="00396E83">
        <w:rPr>
          <w:rFonts w:eastAsia="Calibri" w:cs="Times New Roman"/>
          <w:color w:val="000000" w:themeColor="text1"/>
        </w:rPr>
        <w:t>Formularz ofert</w:t>
      </w:r>
      <w:r w:rsidR="00AA1948" w:rsidRPr="00396E83">
        <w:rPr>
          <w:rFonts w:eastAsia="Calibri" w:cs="Times New Roman"/>
          <w:color w:val="000000" w:themeColor="text1"/>
        </w:rPr>
        <w:t>owy</w:t>
      </w:r>
      <w:r w:rsidRPr="00396E83">
        <w:rPr>
          <w:rFonts w:eastAsia="Calibri" w:cs="Times New Roman"/>
          <w:color w:val="000000" w:themeColor="text1"/>
        </w:rPr>
        <w:t>;</w:t>
      </w:r>
    </w:p>
    <w:p w14:paraId="25962257" w14:textId="49B3F9D0" w:rsidR="00DA6D4F" w:rsidRPr="00396E83" w:rsidRDefault="00F00BCD" w:rsidP="007D552D">
      <w:pPr>
        <w:pStyle w:val="Akapitzlist"/>
        <w:numPr>
          <w:ilvl w:val="0"/>
          <w:numId w:val="15"/>
        </w:numPr>
        <w:tabs>
          <w:tab w:val="left" w:pos="284"/>
        </w:tabs>
        <w:rPr>
          <w:rFonts w:eastAsia="Calibri" w:cs="Times New Roman"/>
          <w:color w:val="000000" w:themeColor="text1"/>
        </w:rPr>
      </w:pPr>
      <w:r w:rsidRPr="00396E83">
        <w:rPr>
          <w:rFonts w:eastAsia="Calibri" w:cs="Times New Roman"/>
          <w:color w:val="000000" w:themeColor="text1"/>
        </w:rPr>
        <w:t>Wzór umowy</w:t>
      </w:r>
      <w:r w:rsidR="00A05A88" w:rsidRPr="00396E83">
        <w:rPr>
          <w:rFonts w:eastAsia="Calibri" w:cs="Times New Roman"/>
          <w:color w:val="000000" w:themeColor="text1"/>
        </w:rPr>
        <w:t>.</w:t>
      </w:r>
    </w:p>
    <w:p w14:paraId="2C42A0DB" w14:textId="77777777" w:rsidR="000E1DD2" w:rsidRPr="00396E83" w:rsidRDefault="000E1DD2" w:rsidP="00DA6D4F">
      <w:pPr>
        <w:spacing w:after="0"/>
        <w:rPr>
          <w:rFonts w:eastAsia="Calibri" w:cs="Times New Roman"/>
          <w:i/>
          <w:color w:val="000000" w:themeColor="text1"/>
          <w:sz w:val="16"/>
          <w:szCs w:val="16"/>
        </w:rPr>
      </w:pPr>
    </w:p>
    <w:p w14:paraId="1321CC13" w14:textId="77777777" w:rsidR="000E1DD2" w:rsidRPr="00396E83" w:rsidRDefault="000E1DD2" w:rsidP="00DA6D4F">
      <w:pPr>
        <w:spacing w:after="0"/>
        <w:rPr>
          <w:rFonts w:eastAsia="Calibri" w:cs="Times New Roman"/>
          <w:i/>
          <w:color w:val="000000" w:themeColor="text1"/>
          <w:sz w:val="16"/>
          <w:szCs w:val="16"/>
        </w:rPr>
      </w:pPr>
    </w:p>
    <w:p w14:paraId="0BB02AF1" w14:textId="77777777" w:rsidR="00DA6D4F" w:rsidRPr="00396E83" w:rsidRDefault="00DA6D4F" w:rsidP="00DA6D4F">
      <w:pPr>
        <w:spacing w:after="0"/>
        <w:rPr>
          <w:rFonts w:eastAsia="Calibri" w:cs="Times New Roman"/>
          <w:color w:val="000000" w:themeColor="text1"/>
        </w:rPr>
      </w:pPr>
    </w:p>
    <w:p w14:paraId="006C1009" w14:textId="09DB71FC" w:rsidR="00207EBD" w:rsidRPr="00396E83" w:rsidRDefault="00760681" w:rsidP="00DA6D4F">
      <w:pPr>
        <w:spacing w:after="0"/>
        <w:rPr>
          <w:rFonts w:eastAsia="Calibri" w:cs="Times New Roman"/>
          <w:i/>
          <w:color w:val="000000" w:themeColor="text1"/>
        </w:rPr>
      </w:pPr>
      <w:r w:rsidRPr="00396E83">
        <w:rPr>
          <w:rFonts w:eastAsia="Calibri" w:cs="Times New Roman"/>
          <w:i/>
          <w:color w:val="000000" w:themeColor="text1"/>
        </w:rPr>
        <w:t>Warszawa</w:t>
      </w:r>
      <w:r w:rsidR="00EF01E2" w:rsidRPr="00396E83">
        <w:rPr>
          <w:rFonts w:eastAsia="Calibri" w:cs="Times New Roman"/>
          <w:i/>
          <w:color w:val="000000" w:themeColor="text1"/>
        </w:rPr>
        <w:t>, ……</w:t>
      </w:r>
      <w:r w:rsidR="00A05A88" w:rsidRPr="00396E83">
        <w:rPr>
          <w:rFonts w:eastAsia="Calibri" w:cs="Times New Roman"/>
          <w:i/>
          <w:color w:val="000000" w:themeColor="text1"/>
        </w:rPr>
        <w:t>……………</w:t>
      </w:r>
      <w:r w:rsidR="00EF01E2" w:rsidRPr="00396E83">
        <w:rPr>
          <w:rFonts w:eastAsia="Calibri" w:cs="Times New Roman"/>
          <w:i/>
          <w:color w:val="000000" w:themeColor="text1"/>
        </w:rPr>
        <w:t xml:space="preserve">. </w:t>
      </w:r>
      <w:r w:rsidR="004C3551" w:rsidRPr="00396E83">
        <w:rPr>
          <w:rFonts w:eastAsia="Calibri" w:cs="Times New Roman"/>
          <w:i/>
          <w:color w:val="000000" w:themeColor="text1"/>
        </w:rPr>
        <w:t xml:space="preserve"> </w:t>
      </w:r>
      <w:r w:rsidRPr="00396E83">
        <w:rPr>
          <w:rFonts w:eastAsia="Calibri" w:cs="Times New Roman"/>
          <w:i/>
          <w:color w:val="000000" w:themeColor="text1"/>
        </w:rPr>
        <w:t>201</w:t>
      </w:r>
      <w:r w:rsidR="00AA1948" w:rsidRPr="00396E83">
        <w:rPr>
          <w:rFonts w:eastAsia="Calibri" w:cs="Times New Roman"/>
          <w:i/>
          <w:color w:val="000000" w:themeColor="text1"/>
        </w:rPr>
        <w:t>9</w:t>
      </w:r>
      <w:r w:rsidRPr="00396E83">
        <w:rPr>
          <w:rFonts w:eastAsia="Calibri" w:cs="Times New Roman"/>
          <w:i/>
          <w:color w:val="000000" w:themeColor="text1"/>
        </w:rPr>
        <w:t xml:space="preserve"> r.</w:t>
      </w:r>
    </w:p>
    <w:p w14:paraId="45FF9617" w14:textId="77777777" w:rsidR="003B542D" w:rsidRPr="00396E83" w:rsidRDefault="003B542D" w:rsidP="00DA6D4F">
      <w:pPr>
        <w:spacing w:after="0" w:line="240" w:lineRule="auto"/>
        <w:ind w:left="3686" w:firstLine="708"/>
        <w:rPr>
          <w:rFonts w:eastAsia="Calibri" w:cs="Times New Roman"/>
          <w:color w:val="000000" w:themeColor="text1"/>
        </w:rPr>
      </w:pPr>
    </w:p>
    <w:p w14:paraId="792DCDDD" w14:textId="77777777" w:rsidR="00BC25A3" w:rsidRPr="00396E83" w:rsidRDefault="00BC25A3" w:rsidP="00725AC3">
      <w:pPr>
        <w:spacing w:after="0" w:line="240" w:lineRule="auto"/>
        <w:ind w:left="3686" w:firstLine="708"/>
        <w:rPr>
          <w:rFonts w:eastAsia="Calibri" w:cs="Times New Roman"/>
          <w:color w:val="000000" w:themeColor="text1"/>
        </w:rPr>
      </w:pPr>
      <w:r w:rsidRPr="00396E83">
        <w:rPr>
          <w:rFonts w:eastAsia="Calibri" w:cs="Times New Roman"/>
          <w:color w:val="000000" w:themeColor="text1"/>
        </w:rPr>
        <w:t xml:space="preserve">          </w:t>
      </w:r>
    </w:p>
    <w:p w14:paraId="6D3F8B7F" w14:textId="77777777" w:rsidR="00725AC3" w:rsidRPr="00396E83" w:rsidRDefault="00725AC3" w:rsidP="00725AC3">
      <w:pPr>
        <w:spacing w:after="0" w:line="240" w:lineRule="auto"/>
        <w:ind w:left="3686" w:firstLine="708"/>
        <w:rPr>
          <w:rFonts w:eastAsia="Calibri" w:cs="Times New Roman"/>
          <w:color w:val="000000" w:themeColor="text1"/>
        </w:rPr>
      </w:pPr>
    </w:p>
    <w:p w14:paraId="39D77CDA" w14:textId="77777777" w:rsidR="00725AC3" w:rsidRPr="00396E83" w:rsidRDefault="00725AC3" w:rsidP="00725AC3">
      <w:pPr>
        <w:spacing w:after="0" w:line="240" w:lineRule="auto"/>
        <w:ind w:left="3686" w:firstLine="708"/>
        <w:rPr>
          <w:rFonts w:eastAsia="Calibri" w:cs="Times New Roman"/>
          <w:color w:val="000000" w:themeColor="text1"/>
        </w:rPr>
      </w:pPr>
    </w:p>
    <w:p w14:paraId="1ADD7876" w14:textId="77777777" w:rsidR="00725AC3" w:rsidRPr="00396E83" w:rsidRDefault="00725AC3" w:rsidP="00725AC3">
      <w:pPr>
        <w:spacing w:after="0" w:line="240" w:lineRule="auto"/>
        <w:ind w:left="3686" w:firstLine="708"/>
        <w:rPr>
          <w:rFonts w:eastAsia="Calibri" w:cs="Times New Roman"/>
          <w:color w:val="000000" w:themeColor="text1"/>
        </w:rPr>
      </w:pPr>
    </w:p>
    <w:p w14:paraId="3D63025C" w14:textId="77777777" w:rsidR="00AA1948" w:rsidRPr="00396E83" w:rsidRDefault="00AA1948" w:rsidP="00BC25A3">
      <w:pPr>
        <w:spacing w:after="0" w:line="240" w:lineRule="auto"/>
        <w:rPr>
          <w:rFonts w:eastAsia="Calibri" w:cs="Times New Roman"/>
          <w:color w:val="000000" w:themeColor="text1"/>
        </w:rPr>
      </w:pPr>
    </w:p>
    <w:p w14:paraId="1A5E65CE" w14:textId="77777777" w:rsidR="00DA6D4F" w:rsidRPr="00396E83" w:rsidRDefault="00DA6D4F" w:rsidP="00DA6D4F">
      <w:pPr>
        <w:spacing w:after="0" w:line="240" w:lineRule="auto"/>
        <w:ind w:left="3686" w:firstLine="708"/>
        <w:rPr>
          <w:rFonts w:eastAsia="Calibri" w:cs="Times New Roman"/>
          <w:color w:val="000000" w:themeColor="text1"/>
        </w:rPr>
      </w:pPr>
      <w:r w:rsidRPr="00396E83">
        <w:rPr>
          <w:rFonts w:eastAsia="Calibri" w:cs="Times New Roman"/>
          <w:color w:val="000000" w:themeColor="text1"/>
        </w:rPr>
        <w:t>..…………………………………………………………………</w:t>
      </w:r>
    </w:p>
    <w:p w14:paraId="32745645" w14:textId="77777777" w:rsidR="00DA6D4F" w:rsidRPr="00396E83" w:rsidRDefault="00DA6D4F" w:rsidP="00DA6D4F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color w:val="000000" w:themeColor="text1"/>
          <w:lang w:eastAsia="pl-PL"/>
        </w:rPr>
      </w:pPr>
      <w:r w:rsidRPr="00396E83">
        <w:rPr>
          <w:rFonts w:ascii="Calibri" w:eastAsia="Times New Roman" w:hAnsi="Calibri" w:cs="Tahoma"/>
          <w:b/>
          <w:bCs/>
          <w:color w:val="000000" w:themeColor="text1"/>
          <w:lang w:eastAsia="pl-PL"/>
        </w:rPr>
        <w:t xml:space="preserve">Zatwierdzenie Kierownika Zamawiającego </w:t>
      </w:r>
    </w:p>
    <w:p w14:paraId="341E6504" w14:textId="77777777" w:rsidR="00DA6D4F" w:rsidRPr="00396E83" w:rsidRDefault="00DA6D4F" w:rsidP="00580877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color w:val="000000" w:themeColor="text1"/>
          <w:lang w:eastAsia="pl-PL"/>
        </w:rPr>
      </w:pPr>
      <w:r w:rsidRPr="00396E83">
        <w:rPr>
          <w:rFonts w:ascii="Calibri" w:eastAsia="Times New Roman" w:hAnsi="Calibri" w:cs="Tahoma"/>
          <w:b/>
          <w:bCs/>
          <w:color w:val="000000" w:themeColor="text1"/>
          <w:lang w:eastAsia="pl-PL"/>
        </w:rPr>
        <w:t xml:space="preserve">lub osoby upoważnionej </w:t>
      </w:r>
      <w:r w:rsidRPr="00396E83">
        <w:rPr>
          <w:rFonts w:ascii="Calibri" w:eastAsia="Times New Roman" w:hAnsi="Calibri" w:cs="Tahoma"/>
          <w:bCs/>
          <w:color w:val="000000" w:themeColor="text1"/>
          <w:sz w:val="16"/>
          <w:szCs w:val="16"/>
          <w:lang w:eastAsia="pl-PL"/>
        </w:rPr>
        <w:t>(</w:t>
      </w:r>
      <w:r w:rsidRPr="00396E83">
        <w:rPr>
          <w:rFonts w:eastAsia="Calibri" w:cs="Times New Roman"/>
          <w:i/>
          <w:color w:val="000000" w:themeColor="text1"/>
          <w:sz w:val="16"/>
          <w:szCs w:val="16"/>
        </w:rPr>
        <w:t>podpis, pieczątka)</w:t>
      </w:r>
    </w:p>
    <w:sectPr w:rsidR="00DA6D4F" w:rsidRPr="00396E83" w:rsidSect="009F06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D6B96" w14:textId="77777777" w:rsidR="00CE7486" w:rsidRDefault="00CE7486" w:rsidP="00BE2F03">
      <w:pPr>
        <w:spacing w:after="0" w:line="240" w:lineRule="auto"/>
      </w:pPr>
      <w:r>
        <w:separator/>
      </w:r>
    </w:p>
  </w:endnote>
  <w:endnote w:type="continuationSeparator" w:id="0">
    <w:p w14:paraId="2CFF114D" w14:textId="77777777" w:rsidR="00CE7486" w:rsidRDefault="00CE7486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7125116"/>
      <w:docPartObj>
        <w:docPartGallery w:val="Page Numbers (Bottom of Page)"/>
        <w:docPartUnique/>
      </w:docPartObj>
    </w:sdtPr>
    <w:sdtEndPr/>
    <w:sdtContent>
      <w:p w14:paraId="4A62D014" w14:textId="0049D3EA" w:rsidR="009F06F7" w:rsidRDefault="009F06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79B">
          <w:rPr>
            <w:noProof/>
          </w:rPr>
          <w:t>1</w:t>
        </w:r>
        <w:r>
          <w:fldChar w:fldCharType="end"/>
        </w:r>
      </w:p>
    </w:sdtContent>
  </w:sdt>
  <w:p w14:paraId="4BD576BE" w14:textId="77777777" w:rsidR="009F06F7" w:rsidRDefault="009F06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7F41A" w14:textId="77777777" w:rsidR="00CE7486" w:rsidRDefault="00CE7486" w:rsidP="00BE2F03">
      <w:pPr>
        <w:spacing w:after="0" w:line="240" w:lineRule="auto"/>
      </w:pPr>
      <w:r>
        <w:separator/>
      </w:r>
    </w:p>
  </w:footnote>
  <w:footnote w:type="continuationSeparator" w:id="0">
    <w:p w14:paraId="2C8A673C" w14:textId="77777777" w:rsidR="00CE7486" w:rsidRDefault="00CE7486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72B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E74FD7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75BFA"/>
    <w:multiLevelType w:val="hybridMultilevel"/>
    <w:tmpl w:val="AFEEF404"/>
    <w:lvl w:ilvl="0" w:tplc="659478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9A7089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672E1"/>
    <w:multiLevelType w:val="hybridMultilevel"/>
    <w:tmpl w:val="BA1C3A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172FA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63F3F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21FA0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411DA0"/>
    <w:multiLevelType w:val="hybridMultilevel"/>
    <w:tmpl w:val="A1A22D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492181"/>
    <w:multiLevelType w:val="hybridMultilevel"/>
    <w:tmpl w:val="8C307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51D0F"/>
    <w:multiLevelType w:val="hybridMultilevel"/>
    <w:tmpl w:val="DB8C083E"/>
    <w:lvl w:ilvl="0" w:tplc="3F7C06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62D7E"/>
    <w:multiLevelType w:val="hybridMultilevel"/>
    <w:tmpl w:val="DD5238C4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F2423"/>
    <w:multiLevelType w:val="hybridMultilevel"/>
    <w:tmpl w:val="14349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687F1D"/>
    <w:multiLevelType w:val="hybridMultilevel"/>
    <w:tmpl w:val="F3D254F8"/>
    <w:lvl w:ilvl="0" w:tplc="3C94804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F8D08FE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467C11"/>
    <w:multiLevelType w:val="hybridMultilevel"/>
    <w:tmpl w:val="E8603CFC"/>
    <w:lvl w:ilvl="0" w:tplc="17289A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D1327B"/>
    <w:multiLevelType w:val="hybridMultilevel"/>
    <w:tmpl w:val="8AC427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107586"/>
    <w:multiLevelType w:val="hybridMultilevel"/>
    <w:tmpl w:val="34E6CE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322C2D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913F99"/>
    <w:multiLevelType w:val="hybridMultilevel"/>
    <w:tmpl w:val="232A6244"/>
    <w:lvl w:ilvl="0" w:tplc="04150017">
      <w:start w:val="1"/>
      <w:numFmt w:val="lowerLetter"/>
      <w:lvlText w:val="%1)"/>
      <w:lvlJc w:val="left"/>
      <w:pPr>
        <w:ind w:left="-828" w:hanging="360"/>
      </w:pPr>
    </w:lvl>
    <w:lvl w:ilvl="1" w:tplc="04150019" w:tentative="1">
      <w:start w:val="1"/>
      <w:numFmt w:val="lowerLetter"/>
      <w:lvlText w:val="%2."/>
      <w:lvlJc w:val="left"/>
      <w:pPr>
        <w:ind w:left="-108" w:hanging="360"/>
      </w:pPr>
    </w:lvl>
    <w:lvl w:ilvl="2" w:tplc="0415001B" w:tentative="1">
      <w:start w:val="1"/>
      <w:numFmt w:val="lowerRoman"/>
      <w:lvlText w:val="%3."/>
      <w:lvlJc w:val="right"/>
      <w:pPr>
        <w:ind w:left="612" w:hanging="180"/>
      </w:pPr>
    </w:lvl>
    <w:lvl w:ilvl="3" w:tplc="0415000F" w:tentative="1">
      <w:start w:val="1"/>
      <w:numFmt w:val="decimal"/>
      <w:lvlText w:val="%4."/>
      <w:lvlJc w:val="left"/>
      <w:pPr>
        <w:ind w:left="1332" w:hanging="360"/>
      </w:pPr>
    </w:lvl>
    <w:lvl w:ilvl="4" w:tplc="04150019" w:tentative="1">
      <w:start w:val="1"/>
      <w:numFmt w:val="lowerLetter"/>
      <w:lvlText w:val="%5."/>
      <w:lvlJc w:val="left"/>
      <w:pPr>
        <w:ind w:left="2052" w:hanging="360"/>
      </w:pPr>
    </w:lvl>
    <w:lvl w:ilvl="5" w:tplc="0415001B" w:tentative="1">
      <w:start w:val="1"/>
      <w:numFmt w:val="lowerRoman"/>
      <w:lvlText w:val="%6."/>
      <w:lvlJc w:val="right"/>
      <w:pPr>
        <w:ind w:left="2772" w:hanging="180"/>
      </w:pPr>
    </w:lvl>
    <w:lvl w:ilvl="6" w:tplc="0415000F" w:tentative="1">
      <w:start w:val="1"/>
      <w:numFmt w:val="decimal"/>
      <w:lvlText w:val="%7."/>
      <w:lvlJc w:val="left"/>
      <w:pPr>
        <w:ind w:left="3492" w:hanging="360"/>
      </w:pPr>
    </w:lvl>
    <w:lvl w:ilvl="7" w:tplc="04150019" w:tentative="1">
      <w:start w:val="1"/>
      <w:numFmt w:val="lowerLetter"/>
      <w:lvlText w:val="%8."/>
      <w:lvlJc w:val="left"/>
      <w:pPr>
        <w:ind w:left="4212" w:hanging="360"/>
      </w:pPr>
    </w:lvl>
    <w:lvl w:ilvl="8" w:tplc="0415001B" w:tentative="1">
      <w:start w:val="1"/>
      <w:numFmt w:val="lowerRoman"/>
      <w:lvlText w:val="%9."/>
      <w:lvlJc w:val="right"/>
      <w:pPr>
        <w:ind w:left="4932" w:hanging="180"/>
      </w:pPr>
    </w:lvl>
  </w:abstractNum>
  <w:abstractNum w:abstractNumId="22" w15:restartNumberingAfterBreak="0">
    <w:nsid w:val="2DB657FA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146849"/>
    <w:multiLevelType w:val="hybridMultilevel"/>
    <w:tmpl w:val="FA4E4AF0"/>
    <w:lvl w:ilvl="0" w:tplc="2910A4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112B71"/>
    <w:multiLevelType w:val="hybridMultilevel"/>
    <w:tmpl w:val="A2D086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0E3282B"/>
    <w:multiLevelType w:val="hybridMultilevel"/>
    <w:tmpl w:val="71A06BAA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73E00D6"/>
    <w:multiLevelType w:val="hybridMultilevel"/>
    <w:tmpl w:val="C1FC5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59520E"/>
    <w:multiLevelType w:val="hybridMultilevel"/>
    <w:tmpl w:val="1048F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7B74BC"/>
    <w:multiLevelType w:val="hybridMultilevel"/>
    <w:tmpl w:val="3E2A51DA"/>
    <w:lvl w:ilvl="0" w:tplc="432074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7E6D39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E034113"/>
    <w:multiLevelType w:val="hybridMultilevel"/>
    <w:tmpl w:val="8E68BB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F845B3A"/>
    <w:multiLevelType w:val="hybridMultilevel"/>
    <w:tmpl w:val="F858F1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0B82532"/>
    <w:multiLevelType w:val="hybridMultilevel"/>
    <w:tmpl w:val="2E9EF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8A13A8"/>
    <w:multiLevelType w:val="hybridMultilevel"/>
    <w:tmpl w:val="D12E5C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3A9730A"/>
    <w:multiLevelType w:val="hybridMultilevel"/>
    <w:tmpl w:val="A2D086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4AE7F58"/>
    <w:multiLevelType w:val="hybridMultilevel"/>
    <w:tmpl w:val="E63C2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273CA8"/>
    <w:multiLevelType w:val="hybridMultilevel"/>
    <w:tmpl w:val="8D2C3A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BEE2503"/>
    <w:multiLevelType w:val="hybridMultilevel"/>
    <w:tmpl w:val="C5A4E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AF3A79"/>
    <w:multiLevelType w:val="hybridMultilevel"/>
    <w:tmpl w:val="D6D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FE76A0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11A0B10"/>
    <w:multiLevelType w:val="hybridMultilevel"/>
    <w:tmpl w:val="BCD4B1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12C3D3A"/>
    <w:multiLevelType w:val="multilevel"/>
    <w:tmpl w:val="1B46C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56762AAB"/>
    <w:multiLevelType w:val="hybridMultilevel"/>
    <w:tmpl w:val="2C5AC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64379D"/>
    <w:multiLevelType w:val="hybridMultilevel"/>
    <w:tmpl w:val="74204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46716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AC74A4D"/>
    <w:multiLevelType w:val="hybridMultilevel"/>
    <w:tmpl w:val="47EED2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D3C2425"/>
    <w:multiLevelType w:val="hybridMultilevel"/>
    <w:tmpl w:val="CC58EFC6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04A487E"/>
    <w:multiLevelType w:val="hybridMultilevel"/>
    <w:tmpl w:val="855A56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0561F5F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91B6C00"/>
    <w:multiLevelType w:val="hybridMultilevel"/>
    <w:tmpl w:val="90E4EE1A"/>
    <w:lvl w:ilvl="0" w:tplc="99D27C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A1608E6"/>
    <w:multiLevelType w:val="hybridMultilevel"/>
    <w:tmpl w:val="3C8C37BE"/>
    <w:lvl w:ilvl="0" w:tplc="1A58F62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A72766"/>
    <w:multiLevelType w:val="hybridMultilevel"/>
    <w:tmpl w:val="5F361A8C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1E64722"/>
    <w:multiLevelType w:val="hybridMultilevel"/>
    <w:tmpl w:val="3D2E65D8"/>
    <w:lvl w:ilvl="0" w:tplc="46EEAEC2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8E6452"/>
    <w:multiLevelType w:val="hybridMultilevel"/>
    <w:tmpl w:val="39A4B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5D0764"/>
    <w:multiLevelType w:val="hybridMultilevel"/>
    <w:tmpl w:val="876A8A04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8B21CF8"/>
    <w:multiLevelType w:val="hybridMultilevel"/>
    <w:tmpl w:val="2F8C93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9436214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BA3132"/>
    <w:multiLevelType w:val="hybridMultilevel"/>
    <w:tmpl w:val="45B215AE"/>
    <w:lvl w:ilvl="0" w:tplc="55FC200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D1C6D9B"/>
    <w:multiLevelType w:val="hybridMultilevel"/>
    <w:tmpl w:val="00203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F90CC5"/>
    <w:multiLevelType w:val="hybridMultilevel"/>
    <w:tmpl w:val="606ECF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2"/>
  </w:num>
  <w:num w:numId="3">
    <w:abstractNumId w:val="11"/>
  </w:num>
  <w:num w:numId="4">
    <w:abstractNumId w:val="21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7"/>
  </w:num>
  <w:num w:numId="8">
    <w:abstractNumId w:val="33"/>
  </w:num>
  <w:num w:numId="9">
    <w:abstractNumId w:val="14"/>
  </w:num>
  <w:num w:numId="10">
    <w:abstractNumId w:val="48"/>
  </w:num>
  <w:num w:numId="11">
    <w:abstractNumId w:val="59"/>
  </w:num>
  <w:num w:numId="12">
    <w:abstractNumId w:val="61"/>
  </w:num>
  <w:num w:numId="13">
    <w:abstractNumId w:val="44"/>
  </w:num>
  <w:num w:numId="14">
    <w:abstractNumId w:val="45"/>
  </w:num>
  <w:num w:numId="15">
    <w:abstractNumId w:val="13"/>
  </w:num>
  <w:num w:numId="16">
    <w:abstractNumId w:val="58"/>
  </w:num>
  <w:num w:numId="17">
    <w:abstractNumId w:val="49"/>
  </w:num>
  <w:num w:numId="18">
    <w:abstractNumId w:val="35"/>
  </w:num>
  <w:num w:numId="19">
    <w:abstractNumId w:val="43"/>
  </w:num>
  <w:num w:numId="20">
    <w:abstractNumId w:val="4"/>
  </w:num>
  <w:num w:numId="21">
    <w:abstractNumId w:val="53"/>
  </w:num>
  <w:num w:numId="22">
    <w:abstractNumId w:val="19"/>
  </w:num>
  <w:num w:numId="23">
    <w:abstractNumId w:val="50"/>
  </w:num>
  <w:num w:numId="24">
    <w:abstractNumId w:val="25"/>
  </w:num>
  <w:num w:numId="25">
    <w:abstractNumId w:val="47"/>
  </w:num>
  <w:num w:numId="26">
    <w:abstractNumId w:val="31"/>
  </w:num>
  <w:num w:numId="27">
    <w:abstractNumId w:val="36"/>
  </w:num>
  <w:num w:numId="28">
    <w:abstractNumId w:val="2"/>
  </w:num>
  <w:num w:numId="29">
    <w:abstractNumId w:val="46"/>
  </w:num>
  <w:num w:numId="30">
    <w:abstractNumId w:val="30"/>
  </w:num>
  <w:num w:numId="31">
    <w:abstractNumId w:val="17"/>
  </w:num>
  <w:num w:numId="32">
    <w:abstractNumId w:val="63"/>
  </w:num>
  <w:num w:numId="33">
    <w:abstractNumId w:val="26"/>
  </w:num>
  <w:num w:numId="34">
    <w:abstractNumId w:val="28"/>
  </w:num>
  <w:num w:numId="35">
    <w:abstractNumId w:val="5"/>
  </w:num>
  <w:num w:numId="36">
    <w:abstractNumId w:val="8"/>
  </w:num>
  <w:num w:numId="37">
    <w:abstractNumId w:val="39"/>
  </w:num>
  <w:num w:numId="38">
    <w:abstractNumId w:val="23"/>
  </w:num>
  <w:num w:numId="39">
    <w:abstractNumId w:val="54"/>
  </w:num>
  <w:num w:numId="40">
    <w:abstractNumId w:val="41"/>
  </w:num>
  <w:num w:numId="41">
    <w:abstractNumId w:val="7"/>
  </w:num>
  <w:num w:numId="42">
    <w:abstractNumId w:val="60"/>
  </w:num>
  <w:num w:numId="43">
    <w:abstractNumId w:val="1"/>
  </w:num>
  <w:num w:numId="44">
    <w:abstractNumId w:val="40"/>
  </w:num>
  <w:num w:numId="45">
    <w:abstractNumId w:val="62"/>
  </w:num>
  <w:num w:numId="46">
    <w:abstractNumId w:val="34"/>
  </w:num>
  <w:num w:numId="47">
    <w:abstractNumId w:val="9"/>
  </w:num>
  <w:num w:numId="48">
    <w:abstractNumId w:val="37"/>
  </w:num>
  <w:num w:numId="49">
    <w:abstractNumId w:val="29"/>
  </w:num>
  <w:num w:numId="50">
    <w:abstractNumId w:val="55"/>
  </w:num>
  <w:num w:numId="51">
    <w:abstractNumId w:val="6"/>
  </w:num>
  <w:num w:numId="52">
    <w:abstractNumId w:val="51"/>
  </w:num>
  <w:num w:numId="53">
    <w:abstractNumId w:val="22"/>
  </w:num>
  <w:num w:numId="54">
    <w:abstractNumId w:val="12"/>
  </w:num>
  <w:num w:numId="55">
    <w:abstractNumId w:val="42"/>
  </w:num>
  <w:num w:numId="56">
    <w:abstractNumId w:val="16"/>
  </w:num>
  <w:num w:numId="57">
    <w:abstractNumId w:val="0"/>
  </w:num>
  <w:num w:numId="58">
    <w:abstractNumId w:val="20"/>
  </w:num>
  <w:num w:numId="59">
    <w:abstractNumId w:val="3"/>
  </w:num>
  <w:num w:numId="60">
    <w:abstractNumId w:val="32"/>
  </w:num>
  <w:num w:numId="61">
    <w:abstractNumId w:val="57"/>
  </w:num>
  <w:num w:numId="62">
    <w:abstractNumId w:val="56"/>
  </w:num>
  <w:num w:numId="63">
    <w:abstractNumId w:val="38"/>
  </w:num>
  <w:num w:numId="64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3"/>
    <w:rsid w:val="00004316"/>
    <w:rsid w:val="000168AB"/>
    <w:rsid w:val="00052A26"/>
    <w:rsid w:val="0006173A"/>
    <w:rsid w:val="00071675"/>
    <w:rsid w:val="00072BC2"/>
    <w:rsid w:val="000817E8"/>
    <w:rsid w:val="000925F4"/>
    <w:rsid w:val="00096245"/>
    <w:rsid w:val="000A09C0"/>
    <w:rsid w:val="000A171B"/>
    <w:rsid w:val="000A3797"/>
    <w:rsid w:val="000B26B7"/>
    <w:rsid w:val="000B43F6"/>
    <w:rsid w:val="000B459D"/>
    <w:rsid w:val="000C437B"/>
    <w:rsid w:val="000E1DD2"/>
    <w:rsid w:val="000E6A42"/>
    <w:rsid w:val="000F2D39"/>
    <w:rsid w:val="0011616F"/>
    <w:rsid w:val="00120E4F"/>
    <w:rsid w:val="001239DD"/>
    <w:rsid w:val="00132EA8"/>
    <w:rsid w:val="0014079B"/>
    <w:rsid w:val="0015292E"/>
    <w:rsid w:val="00154798"/>
    <w:rsid w:val="00167B78"/>
    <w:rsid w:val="0019099B"/>
    <w:rsid w:val="0019517E"/>
    <w:rsid w:val="001A0733"/>
    <w:rsid w:val="001A4235"/>
    <w:rsid w:val="001C5481"/>
    <w:rsid w:val="001D01D1"/>
    <w:rsid w:val="001D1B23"/>
    <w:rsid w:val="001D76A6"/>
    <w:rsid w:val="001E0EBD"/>
    <w:rsid w:val="001F26FA"/>
    <w:rsid w:val="001F3A9A"/>
    <w:rsid w:val="002057C0"/>
    <w:rsid w:val="00207EBD"/>
    <w:rsid w:val="00215D60"/>
    <w:rsid w:val="0022066E"/>
    <w:rsid w:val="00221362"/>
    <w:rsid w:val="00221F4E"/>
    <w:rsid w:val="00237D70"/>
    <w:rsid w:val="002435D3"/>
    <w:rsid w:val="00254509"/>
    <w:rsid w:val="00264038"/>
    <w:rsid w:val="00266109"/>
    <w:rsid w:val="00274EAC"/>
    <w:rsid w:val="00276ED1"/>
    <w:rsid w:val="0028333E"/>
    <w:rsid w:val="00293ADA"/>
    <w:rsid w:val="00297CBA"/>
    <w:rsid w:val="002A6E26"/>
    <w:rsid w:val="002C430F"/>
    <w:rsid w:val="002F1AD7"/>
    <w:rsid w:val="002F4D7B"/>
    <w:rsid w:val="003141C6"/>
    <w:rsid w:val="00322477"/>
    <w:rsid w:val="00323137"/>
    <w:rsid w:val="00332CE2"/>
    <w:rsid w:val="0033662B"/>
    <w:rsid w:val="003513D7"/>
    <w:rsid w:val="00362ADF"/>
    <w:rsid w:val="00370283"/>
    <w:rsid w:val="0037252F"/>
    <w:rsid w:val="00374904"/>
    <w:rsid w:val="00375957"/>
    <w:rsid w:val="00390AB5"/>
    <w:rsid w:val="00396E83"/>
    <w:rsid w:val="0039702B"/>
    <w:rsid w:val="003A611B"/>
    <w:rsid w:val="003B0832"/>
    <w:rsid w:val="003B2D1F"/>
    <w:rsid w:val="003B542D"/>
    <w:rsid w:val="003B7310"/>
    <w:rsid w:val="003F51BC"/>
    <w:rsid w:val="003F5487"/>
    <w:rsid w:val="003F6356"/>
    <w:rsid w:val="00407E46"/>
    <w:rsid w:val="00420A98"/>
    <w:rsid w:val="00426CD9"/>
    <w:rsid w:val="00447BF1"/>
    <w:rsid w:val="00450466"/>
    <w:rsid w:val="004777B9"/>
    <w:rsid w:val="00486C17"/>
    <w:rsid w:val="004A3BE6"/>
    <w:rsid w:val="004B04C0"/>
    <w:rsid w:val="004B7970"/>
    <w:rsid w:val="004C3551"/>
    <w:rsid w:val="004D0607"/>
    <w:rsid w:val="004D460C"/>
    <w:rsid w:val="004D76F7"/>
    <w:rsid w:val="004E1864"/>
    <w:rsid w:val="004E4065"/>
    <w:rsid w:val="004E637B"/>
    <w:rsid w:val="004F49ED"/>
    <w:rsid w:val="004F5934"/>
    <w:rsid w:val="00501999"/>
    <w:rsid w:val="00504FD0"/>
    <w:rsid w:val="00532B47"/>
    <w:rsid w:val="0054436E"/>
    <w:rsid w:val="00572B69"/>
    <w:rsid w:val="00580877"/>
    <w:rsid w:val="00583915"/>
    <w:rsid w:val="00590914"/>
    <w:rsid w:val="0059195D"/>
    <w:rsid w:val="005A263B"/>
    <w:rsid w:val="005D05E0"/>
    <w:rsid w:val="005D3DE4"/>
    <w:rsid w:val="005E3C41"/>
    <w:rsid w:val="006063BA"/>
    <w:rsid w:val="00607717"/>
    <w:rsid w:val="00617D8C"/>
    <w:rsid w:val="0062589E"/>
    <w:rsid w:val="006313C6"/>
    <w:rsid w:val="006313ED"/>
    <w:rsid w:val="00636F0C"/>
    <w:rsid w:val="00641CC3"/>
    <w:rsid w:val="0065267C"/>
    <w:rsid w:val="00657CA1"/>
    <w:rsid w:val="00663D04"/>
    <w:rsid w:val="00664087"/>
    <w:rsid w:val="006839F9"/>
    <w:rsid w:val="00683DC3"/>
    <w:rsid w:val="006F7E8E"/>
    <w:rsid w:val="00702EBF"/>
    <w:rsid w:val="00722CFF"/>
    <w:rsid w:val="00725AC3"/>
    <w:rsid w:val="00725E36"/>
    <w:rsid w:val="007349C3"/>
    <w:rsid w:val="00746B17"/>
    <w:rsid w:val="00750390"/>
    <w:rsid w:val="00753426"/>
    <w:rsid w:val="00757F95"/>
    <w:rsid w:val="00760681"/>
    <w:rsid w:val="00761A82"/>
    <w:rsid w:val="00764D52"/>
    <w:rsid w:val="0078284C"/>
    <w:rsid w:val="00785D6B"/>
    <w:rsid w:val="00794405"/>
    <w:rsid w:val="007A432C"/>
    <w:rsid w:val="007B6865"/>
    <w:rsid w:val="007C55A4"/>
    <w:rsid w:val="007C705B"/>
    <w:rsid w:val="007D552D"/>
    <w:rsid w:val="007D5CDD"/>
    <w:rsid w:val="007E1328"/>
    <w:rsid w:val="007F68AA"/>
    <w:rsid w:val="00806591"/>
    <w:rsid w:val="00811A69"/>
    <w:rsid w:val="00850D0F"/>
    <w:rsid w:val="008618BA"/>
    <w:rsid w:val="00885730"/>
    <w:rsid w:val="00895991"/>
    <w:rsid w:val="008A15BB"/>
    <w:rsid w:val="008C2392"/>
    <w:rsid w:val="008D0FBD"/>
    <w:rsid w:val="008D3B49"/>
    <w:rsid w:val="008D63F8"/>
    <w:rsid w:val="008D6664"/>
    <w:rsid w:val="008E437C"/>
    <w:rsid w:val="008F337C"/>
    <w:rsid w:val="00921152"/>
    <w:rsid w:val="00947DD2"/>
    <w:rsid w:val="009817E6"/>
    <w:rsid w:val="00985313"/>
    <w:rsid w:val="009853AE"/>
    <w:rsid w:val="009A0F30"/>
    <w:rsid w:val="009A3E2D"/>
    <w:rsid w:val="009A4B56"/>
    <w:rsid w:val="009B6C16"/>
    <w:rsid w:val="009C252E"/>
    <w:rsid w:val="009C29C1"/>
    <w:rsid w:val="009C38BA"/>
    <w:rsid w:val="009C6947"/>
    <w:rsid w:val="009C723A"/>
    <w:rsid w:val="009D0381"/>
    <w:rsid w:val="009D1682"/>
    <w:rsid w:val="009F06F7"/>
    <w:rsid w:val="009F2155"/>
    <w:rsid w:val="00A05A88"/>
    <w:rsid w:val="00A367C0"/>
    <w:rsid w:val="00A63213"/>
    <w:rsid w:val="00A703FB"/>
    <w:rsid w:val="00A74A50"/>
    <w:rsid w:val="00A81FE4"/>
    <w:rsid w:val="00A8775A"/>
    <w:rsid w:val="00AA1948"/>
    <w:rsid w:val="00AB278A"/>
    <w:rsid w:val="00AC1402"/>
    <w:rsid w:val="00AC18A9"/>
    <w:rsid w:val="00AE284A"/>
    <w:rsid w:val="00AE462E"/>
    <w:rsid w:val="00AE5615"/>
    <w:rsid w:val="00AF2C3E"/>
    <w:rsid w:val="00AF4025"/>
    <w:rsid w:val="00B1084B"/>
    <w:rsid w:val="00B226C6"/>
    <w:rsid w:val="00B46727"/>
    <w:rsid w:val="00B51848"/>
    <w:rsid w:val="00B53D6C"/>
    <w:rsid w:val="00B545AC"/>
    <w:rsid w:val="00B618AF"/>
    <w:rsid w:val="00B67458"/>
    <w:rsid w:val="00B943E0"/>
    <w:rsid w:val="00B972A9"/>
    <w:rsid w:val="00BA1D22"/>
    <w:rsid w:val="00BB0598"/>
    <w:rsid w:val="00BC25A3"/>
    <w:rsid w:val="00BC2AC5"/>
    <w:rsid w:val="00BD17D4"/>
    <w:rsid w:val="00BE2F03"/>
    <w:rsid w:val="00C052A1"/>
    <w:rsid w:val="00C11EBE"/>
    <w:rsid w:val="00C222FC"/>
    <w:rsid w:val="00C268EB"/>
    <w:rsid w:val="00C320C4"/>
    <w:rsid w:val="00C64282"/>
    <w:rsid w:val="00C6708F"/>
    <w:rsid w:val="00C713EA"/>
    <w:rsid w:val="00C71916"/>
    <w:rsid w:val="00C75607"/>
    <w:rsid w:val="00C8188B"/>
    <w:rsid w:val="00CA3C15"/>
    <w:rsid w:val="00CA4199"/>
    <w:rsid w:val="00CC1D35"/>
    <w:rsid w:val="00CD0A29"/>
    <w:rsid w:val="00CE7486"/>
    <w:rsid w:val="00CF08BE"/>
    <w:rsid w:val="00D028B2"/>
    <w:rsid w:val="00D04E1B"/>
    <w:rsid w:val="00D2372B"/>
    <w:rsid w:val="00D366E5"/>
    <w:rsid w:val="00D42951"/>
    <w:rsid w:val="00D47DCC"/>
    <w:rsid w:val="00D5415D"/>
    <w:rsid w:val="00D54FD2"/>
    <w:rsid w:val="00D70F4A"/>
    <w:rsid w:val="00D7260A"/>
    <w:rsid w:val="00DA3E34"/>
    <w:rsid w:val="00DA6D4F"/>
    <w:rsid w:val="00DB2847"/>
    <w:rsid w:val="00DB6C71"/>
    <w:rsid w:val="00DC3DA6"/>
    <w:rsid w:val="00DD30CD"/>
    <w:rsid w:val="00DD75E9"/>
    <w:rsid w:val="00DE2CB7"/>
    <w:rsid w:val="00DF4D2D"/>
    <w:rsid w:val="00E03825"/>
    <w:rsid w:val="00E224FB"/>
    <w:rsid w:val="00E2468B"/>
    <w:rsid w:val="00E41B1B"/>
    <w:rsid w:val="00E55AA4"/>
    <w:rsid w:val="00E5772E"/>
    <w:rsid w:val="00E60CD1"/>
    <w:rsid w:val="00E626F8"/>
    <w:rsid w:val="00E6640E"/>
    <w:rsid w:val="00E77866"/>
    <w:rsid w:val="00E908A7"/>
    <w:rsid w:val="00EA6C83"/>
    <w:rsid w:val="00EB3ADF"/>
    <w:rsid w:val="00EB7637"/>
    <w:rsid w:val="00ED0192"/>
    <w:rsid w:val="00ED650F"/>
    <w:rsid w:val="00EF01E2"/>
    <w:rsid w:val="00F0068F"/>
    <w:rsid w:val="00F00BCD"/>
    <w:rsid w:val="00F208B5"/>
    <w:rsid w:val="00F348C8"/>
    <w:rsid w:val="00F36463"/>
    <w:rsid w:val="00F466AC"/>
    <w:rsid w:val="00F46EBC"/>
    <w:rsid w:val="00F52F11"/>
    <w:rsid w:val="00F600E6"/>
    <w:rsid w:val="00F660AD"/>
    <w:rsid w:val="00F6731B"/>
    <w:rsid w:val="00F91E49"/>
    <w:rsid w:val="00F97D96"/>
    <w:rsid w:val="00FA6312"/>
    <w:rsid w:val="00FC3EB9"/>
    <w:rsid w:val="00FD6A1B"/>
    <w:rsid w:val="00FE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11A1"/>
  <w15:docId w15:val="{A8168BF3-C5BB-46A6-8F96-6C7EAE2C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,Numerowanie,List Paragraph,Podsis rysunku,maz_wyliczenie,opis dzialania,K-P_odwolanie,A_wyliczenie,Akapit z listą 1,BulletC,Obiekt,Akapit z listą numerowaną,Preambuła,L1,Wypunktowanie,Akapit z listą31,Bullets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liczanie Znak,normalny tekst Znak,Numerowanie Znak,List Paragraph Znak,Podsis rysunku Znak,maz_wyliczenie Znak,opis dzialania Znak,K-P_odwolanie Znak,A_wyliczenie Znak,Akapit z listą 1 Znak,BulletC Znak,Obiekt Znak,Preambuła Znak"/>
    <w:link w:val="Akapitzlist"/>
    <w:uiPriority w:val="34"/>
    <w:qFormat/>
    <w:locked/>
    <w:rsid w:val="000B459D"/>
  </w:style>
  <w:style w:type="table" w:styleId="Tabela-Siatka">
    <w:name w:val="Table Grid"/>
    <w:basedOn w:val="Standardowy"/>
    <w:uiPriority w:val="59"/>
    <w:semiHidden/>
    <w:unhideWhenUsed/>
    <w:rsid w:val="00AC1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1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1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15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C723A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C723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0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BD"/>
  </w:style>
  <w:style w:type="paragraph" w:styleId="Stopka">
    <w:name w:val="footer"/>
    <w:basedOn w:val="Normalny"/>
    <w:link w:val="StopkaZnak"/>
    <w:uiPriority w:val="99"/>
    <w:unhideWhenUsed/>
    <w:rsid w:val="0020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BD"/>
  </w:style>
  <w:style w:type="paragraph" w:customStyle="1" w:styleId="Default">
    <w:name w:val="Default"/>
    <w:rsid w:val="00A877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8775A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6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6C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6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6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6C8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A6C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B8DEB-8231-4BD7-A5C0-52083952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1760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Łukasz Eisenbart</cp:lastModifiedBy>
  <cp:revision>25</cp:revision>
  <cp:lastPrinted>2019-11-27T12:59:00Z</cp:lastPrinted>
  <dcterms:created xsi:type="dcterms:W3CDTF">2019-11-29T10:04:00Z</dcterms:created>
  <dcterms:modified xsi:type="dcterms:W3CDTF">2019-12-02T09:59:00Z</dcterms:modified>
</cp:coreProperties>
</file>