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DA5EC" w14:textId="77777777" w:rsidR="00EA7D2D" w:rsidRPr="009724BC" w:rsidRDefault="00EA7D2D" w:rsidP="00EA7D2D">
      <w:pPr>
        <w:spacing w:before="120" w:after="120" w:line="300" w:lineRule="exact"/>
        <w:jc w:val="right"/>
        <w:rPr>
          <w:rFonts w:asciiTheme="minorHAnsi" w:hAnsiTheme="minorHAnsi" w:cs="Calibri"/>
          <w:b/>
          <w:w w:val="100"/>
          <w:sz w:val="32"/>
          <w:szCs w:val="32"/>
        </w:rPr>
      </w:pPr>
      <w:r>
        <w:rPr>
          <w:rFonts w:asciiTheme="minorHAnsi" w:hAnsiTheme="minorHAnsi" w:cs="Calibri"/>
          <w:b/>
          <w:w w:val="100"/>
          <w:sz w:val="22"/>
          <w:szCs w:val="22"/>
        </w:rPr>
        <w:t xml:space="preserve">Załącznik nr 9 do SIWZ - </w:t>
      </w:r>
      <w:r w:rsidRPr="001C506D">
        <w:rPr>
          <w:rFonts w:asciiTheme="minorHAnsi" w:hAnsiTheme="minorHAnsi" w:cs="Calibri"/>
          <w:b/>
          <w:w w:val="100"/>
          <w:sz w:val="22"/>
          <w:szCs w:val="22"/>
        </w:rPr>
        <w:t>Specyfikacja techniczna oferowanego asortymentu</w:t>
      </w:r>
    </w:p>
    <w:p w14:paraId="3B3358C1" w14:textId="77777777" w:rsidR="00EA7D2D" w:rsidRPr="008E5BA2" w:rsidRDefault="00EA7D2D" w:rsidP="003B5A1F">
      <w:pPr>
        <w:spacing w:before="120" w:after="120" w:line="300" w:lineRule="exact"/>
        <w:rPr>
          <w:rFonts w:cs="Calibri"/>
          <w:b/>
          <w:w w:val="100"/>
          <w:sz w:val="32"/>
          <w:szCs w:val="22"/>
        </w:rPr>
      </w:pPr>
    </w:p>
    <w:p w14:paraId="3BE0AE11" w14:textId="77777777" w:rsidR="003B5A1F" w:rsidRPr="008E5BA2" w:rsidRDefault="00EA7D2D" w:rsidP="00BD4057">
      <w:pPr>
        <w:spacing w:before="120" w:after="120" w:line="300" w:lineRule="exact"/>
        <w:jc w:val="center"/>
        <w:rPr>
          <w:rFonts w:cs="Calibri"/>
          <w:b/>
          <w:w w:val="100"/>
          <w:sz w:val="32"/>
          <w:szCs w:val="22"/>
        </w:rPr>
      </w:pPr>
      <w:r w:rsidRPr="008E5BA2">
        <w:rPr>
          <w:rFonts w:cs="Calibri"/>
          <w:b/>
          <w:w w:val="100"/>
          <w:sz w:val="32"/>
          <w:szCs w:val="22"/>
        </w:rPr>
        <w:t xml:space="preserve">Część nr 1 - </w:t>
      </w:r>
      <w:r w:rsidR="003B5A1F" w:rsidRPr="008E5BA2">
        <w:rPr>
          <w:rFonts w:cs="Calibri"/>
          <w:b/>
          <w:w w:val="100"/>
          <w:sz w:val="32"/>
          <w:szCs w:val="22"/>
        </w:rPr>
        <w:t>Macierz dyskowa (1 sztuka)</w:t>
      </w:r>
    </w:p>
    <w:p w14:paraId="3582A6BB" w14:textId="77777777" w:rsidR="003B5A1F" w:rsidRDefault="003B5A1F" w:rsidP="003B5A1F">
      <w:pPr>
        <w:spacing w:before="120" w:after="120" w:line="300" w:lineRule="exact"/>
        <w:rPr>
          <w:rFonts w:cs="Calibri"/>
          <w:w w:val="100"/>
          <w:sz w:val="22"/>
          <w:szCs w:val="22"/>
        </w:rPr>
      </w:pPr>
      <w:r>
        <w:rPr>
          <w:rFonts w:cs="Calibri"/>
          <w:w w:val="100"/>
          <w:sz w:val="22"/>
          <w:szCs w:val="22"/>
        </w:rPr>
        <w:t>Nazwa producenta: ……………………………………………………….</w:t>
      </w:r>
      <w:r w:rsidR="00EA7D2D">
        <w:rPr>
          <w:rFonts w:cs="Calibri"/>
          <w:w w:val="100"/>
          <w:sz w:val="22"/>
          <w:szCs w:val="22"/>
        </w:rPr>
        <w:t xml:space="preserve"> </w:t>
      </w:r>
      <w:r w:rsidR="00EA7D2D" w:rsidRPr="00EA7D2D">
        <w:rPr>
          <w:rFonts w:cs="Calibri"/>
          <w:b/>
          <w:w w:val="100"/>
          <w:sz w:val="22"/>
          <w:szCs w:val="22"/>
        </w:rPr>
        <w:t>(należy uzupełnić)</w:t>
      </w:r>
    </w:p>
    <w:p w14:paraId="704324A1" w14:textId="77777777" w:rsidR="003B5A1F" w:rsidRDefault="003B5A1F" w:rsidP="003B5A1F">
      <w:pPr>
        <w:spacing w:before="120" w:after="120" w:line="300" w:lineRule="exact"/>
        <w:rPr>
          <w:rFonts w:cs="Calibri"/>
          <w:w w:val="100"/>
          <w:sz w:val="22"/>
          <w:szCs w:val="22"/>
        </w:rPr>
      </w:pPr>
      <w:r>
        <w:rPr>
          <w:rFonts w:cs="Calibri"/>
          <w:w w:val="100"/>
          <w:sz w:val="22"/>
          <w:szCs w:val="22"/>
        </w:rPr>
        <w:t>Oferowany model: …………………………………………………………</w:t>
      </w:r>
      <w:r w:rsidR="00EA7D2D">
        <w:rPr>
          <w:rFonts w:cs="Calibri"/>
          <w:w w:val="100"/>
          <w:sz w:val="22"/>
          <w:szCs w:val="22"/>
        </w:rPr>
        <w:t xml:space="preserve"> </w:t>
      </w:r>
      <w:r w:rsidR="00EA7D2D" w:rsidRPr="00EA7D2D">
        <w:rPr>
          <w:rFonts w:cs="Calibri"/>
          <w:b/>
          <w:w w:val="100"/>
          <w:sz w:val="22"/>
          <w:szCs w:val="22"/>
        </w:rPr>
        <w:t>(należy uzupełnić)</w:t>
      </w:r>
    </w:p>
    <w:p w14:paraId="5AE12661" w14:textId="77777777" w:rsidR="00232C41" w:rsidRDefault="00232C41" w:rsidP="003B5A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7230"/>
        <w:gridCol w:w="3345"/>
        <w:gridCol w:w="22"/>
      </w:tblGrid>
      <w:tr w:rsidR="003B5A1F" w14:paraId="1F90AD9C" w14:textId="77777777" w:rsidTr="00682EEE">
        <w:trPr>
          <w:trHeight w:val="1304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14:paraId="0A8A34AD" w14:textId="77777777" w:rsidR="003B5A1F" w:rsidRPr="009517DB" w:rsidRDefault="003B5A1F" w:rsidP="003B5A1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7DB">
              <w:rPr>
                <w:rFonts w:ascii="Verdana" w:hAnsi="Verdana"/>
                <w:b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731397BA" w14:textId="77777777" w:rsidR="003B5A1F" w:rsidRPr="009517DB" w:rsidRDefault="003B5A1F" w:rsidP="003B5A1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7DB">
              <w:rPr>
                <w:rFonts w:ascii="Verdana" w:hAnsi="Verdana"/>
                <w:b/>
                <w:sz w:val="28"/>
                <w:szCs w:val="28"/>
              </w:rPr>
              <w:t>Nazwa  komponentu, inne wymagania</w:t>
            </w:r>
          </w:p>
        </w:tc>
        <w:tc>
          <w:tcPr>
            <w:tcW w:w="7230" w:type="dxa"/>
            <w:shd w:val="clear" w:color="auto" w:fill="C5E0B3" w:themeFill="accent6" w:themeFillTint="66"/>
            <w:vAlign w:val="center"/>
          </w:tcPr>
          <w:p w14:paraId="464DE7E9" w14:textId="77777777" w:rsidR="003B5A1F" w:rsidRDefault="000B5164" w:rsidP="00EA7D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Opis wymagań</w:t>
            </w:r>
          </w:p>
          <w:p w14:paraId="51B0B454" w14:textId="42997B9F" w:rsidR="000B5164" w:rsidRPr="009517DB" w:rsidRDefault="000B5164" w:rsidP="00EA7D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(minimalnych i dodatkowych ocenianych w ramach kryteriów oceny ofert)</w:t>
            </w:r>
          </w:p>
        </w:tc>
        <w:tc>
          <w:tcPr>
            <w:tcW w:w="3367" w:type="dxa"/>
            <w:gridSpan w:val="2"/>
            <w:shd w:val="clear" w:color="auto" w:fill="C5E0B3" w:themeFill="accent6" w:themeFillTint="66"/>
            <w:vAlign w:val="center"/>
          </w:tcPr>
          <w:p w14:paraId="0302DACD" w14:textId="77777777" w:rsidR="003B5A1F" w:rsidRPr="009517DB" w:rsidRDefault="003B5A1F" w:rsidP="00EA18FF">
            <w:pPr>
              <w:ind w:left="283" w:right="28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7DB">
              <w:rPr>
                <w:rFonts w:ascii="Verdana" w:hAnsi="Verdana"/>
                <w:b/>
                <w:sz w:val="28"/>
                <w:szCs w:val="28"/>
              </w:rPr>
              <w:t>Parametry techniczne oferowanego produktu</w:t>
            </w:r>
          </w:p>
        </w:tc>
      </w:tr>
      <w:tr w:rsidR="003B5A1F" w14:paraId="4EEA84FA" w14:textId="77777777" w:rsidTr="005E58F1">
        <w:trPr>
          <w:trHeight w:val="1460"/>
        </w:trPr>
        <w:tc>
          <w:tcPr>
            <w:tcW w:w="846" w:type="dxa"/>
            <w:vAlign w:val="center"/>
          </w:tcPr>
          <w:p w14:paraId="0C6109ED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1C681D3" w14:textId="77777777" w:rsidR="003B5A1F" w:rsidRPr="003B5A1F" w:rsidRDefault="003B5A1F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Obudowa</w:t>
            </w:r>
          </w:p>
        </w:tc>
        <w:tc>
          <w:tcPr>
            <w:tcW w:w="7230" w:type="dxa"/>
            <w:vAlign w:val="center"/>
          </w:tcPr>
          <w:p w14:paraId="376F1C06" w14:textId="77777777" w:rsidR="00EA18FF" w:rsidRPr="009517DB" w:rsidRDefault="00EA18FF" w:rsidP="006B048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Obudowa ze wszystkimi komponentami umożliwiająca montaż w standardowej szafie typu rack 19”. Wysokość maksymalnie 6U”.</w:t>
            </w:r>
          </w:p>
          <w:p w14:paraId="3C92D7A4" w14:textId="77777777" w:rsidR="003B5A1F" w:rsidRPr="00EA18FF" w:rsidRDefault="003B5A1F" w:rsidP="00EA18FF">
            <w:pPr>
              <w:jc w:val="center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3367" w:type="dxa"/>
            <w:gridSpan w:val="2"/>
            <w:vAlign w:val="center"/>
          </w:tcPr>
          <w:p w14:paraId="686787AA" w14:textId="77777777" w:rsidR="003B5A1F" w:rsidRPr="00E15B07" w:rsidRDefault="003B5A1F" w:rsidP="006B0483">
            <w:pPr>
              <w:pStyle w:val="Akapitzlist"/>
              <w:numPr>
                <w:ilvl w:val="0"/>
                <w:numId w:val="7"/>
              </w:numPr>
              <w:tabs>
                <w:tab w:val="left" w:pos="223"/>
              </w:tabs>
              <w:spacing w:before="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66CC83D6" w14:textId="77777777" w:rsidR="003B5A1F" w:rsidRPr="00E15B07" w:rsidRDefault="003B5A1F" w:rsidP="005E58F1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3B5A1F" w:rsidRPr="009517DB" w14:paraId="509CD2E4" w14:textId="77777777" w:rsidTr="005E58F1">
        <w:trPr>
          <w:gridAfter w:val="1"/>
          <w:wAfter w:w="22" w:type="dxa"/>
          <w:trHeight w:val="3270"/>
        </w:trPr>
        <w:tc>
          <w:tcPr>
            <w:tcW w:w="846" w:type="dxa"/>
            <w:vAlign w:val="center"/>
          </w:tcPr>
          <w:p w14:paraId="15FC5BAA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55515E" w14:textId="77777777" w:rsidR="003B5A1F" w:rsidRPr="003B5A1F" w:rsidRDefault="003B5A1F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Kontroler</w:t>
            </w:r>
          </w:p>
        </w:tc>
        <w:tc>
          <w:tcPr>
            <w:tcW w:w="7230" w:type="dxa"/>
            <w:vAlign w:val="center"/>
          </w:tcPr>
          <w:p w14:paraId="1D1F3700" w14:textId="77777777" w:rsidR="00EA18FF" w:rsidRDefault="00EA18FF" w:rsidP="003F1915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Dwa kontrolery  wyposażone w minimum 16GB cache każdy.</w:t>
            </w:r>
          </w:p>
          <w:p w14:paraId="518DC926" w14:textId="77777777" w:rsidR="003F1915" w:rsidRPr="009517DB" w:rsidRDefault="003F1915" w:rsidP="003F1915">
            <w:pPr>
              <w:pStyle w:val="Akapitzlist"/>
              <w:spacing w:line="360" w:lineRule="auto"/>
              <w:ind w:left="720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476AA1F4" w14:textId="77777777" w:rsidR="003B5A1F" w:rsidRDefault="00EA18FF" w:rsidP="003F1915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W przypadku awarii zasilania dane nie zapisane na dyski, przechowywane w pamięci muszą być zabezpieczone za pomocą podtrzymania bateryjnego/kondensatorowego przez </w:t>
            </w:r>
            <w:r w:rsidR="00FC3E88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48</w:t>
            </w: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godziny lub jako zrzut na pamięć flash.</w:t>
            </w:r>
          </w:p>
          <w:p w14:paraId="60D3DDBD" w14:textId="77777777" w:rsidR="000F3FBA" w:rsidRDefault="000F3FBA" w:rsidP="000F3FBA">
            <w:pPr>
              <w:pStyle w:val="Akapitzlis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60132315" w14:textId="77777777" w:rsidR="00FA70BD" w:rsidRDefault="005424DD" w:rsidP="00EA7D2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lastRenderedPageBreak/>
              <w:t xml:space="preserve">FUNKCJONALNOŚĆ </w:t>
            </w:r>
            <w:r w:rsidR="00EA7D2D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DODATKOWA 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PUNKTOWANA W RAMACH KRYTERIÓW OCENY OFERT</w:t>
            </w:r>
          </w:p>
          <w:p w14:paraId="3AEE7C2B" w14:textId="087BAFAE" w:rsidR="005424DD" w:rsidRPr="000F3FBA" w:rsidRDefault="00FA70BD" w:rsidP="00EA7D2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ów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)</w:t>
            </w:r>
            <w:r w:rsidR="005424DD"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6A1E55A9" w14:textId="77777777" w:rsidR="005424DD" w:rsidRPr="000F3FBA" w:rsidRDefault="005424DD" w:rsidP="000F3FBA">
            <w:pPr>
              <w:pStyle w:val="Akapitzlis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28C91EA5" w14:textId="77777777" w:rsidR="00917DBC" w:rsidRDefault="00917DBC" w:rsidP="003F1915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17DBC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umożliwić rozbudowę do 8 kontrolerów dyskowych tworzących je</w:t>
            </w:r>
            <w:bookmarkStart w:id="0" w:name="_GoBack"/>
            <w:bookmarkEnd w:id="0"/>
            <w:r w:rsidRPr="00917DBC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dna logiczną macierz bez konieczności wymia</w:t>
            </w:r>
            <w:r w:rsidR="003F1915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ny zaoferowanej pary kontrolerów</w:t>
            </w:r>
          </w:p>
          <w:p w14:paraId="46A96925" w14:textId="3CFDABBA" w:rsidR="000F3FBA" w:rsidRDefault="000F3FBA" w:rsidP="00EA7D2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FUNKCJONALNOŚĆ </w:t>
            </w:r>
            <w:r w:rsidR="00EA7D2D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DODATKOWA PUNKTOWANA</w:t>
            </w:r>
            <w:r w:rsidR="00EA7D2D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</w:r>
            <w:r w:rsidR="00FA70BD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W RAMACH KRYTERIÓW OCENY OFERT</w:t>
            </w:r>
          </w:p>
          <w:p w14:paraId="56D94E1A" w14:textId="4585D460" w:rsidR="00FA70BD" w:rsidRDefault="00FA70BD" w:rsidP="00FA70B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ów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6CD180D3" w14:textId="77777777" w:rsidR="00FA70BD" w:rsidRPr="000F3FBA" w:rsidRDefault="00FA70BD" w:rsidP="00FA70B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</w:p>
          <w:p w14:paraId="12F5FF2E" w14:textId="77777777" w:rsidR="00917DBC" w:rsidRPr="00917DBC" w:rsidRDefault="00E775F5" w:rsidP="00E775F5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Dwa kon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trolery  wyposażone w minimum 32</w:t>
            </w: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GB cache każdy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oraz </w:t>
            </w:r>
            <w:r w:rsidR="00917DBC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możliwość pracy również w 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trybie </w:t>
            </w:r>
            <w:r w:rsidR="00917DBC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NAS a nie tylko blokowym </w:t>
            </w:r>
            <w:r w:rsidR="00917DBC" w:rsidRPr="00917DBC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(licencje do NAS oraz minimum 4 porty 1GbE per kontroler muszą być dostarczone wraz z macierzą)</w:t>
            </w:r>
            <w:r w:rsidR="005424DD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 </w:t>
            </w:r>
          </w:p>
        </w:tc>
        <w:tc>
          <w:tcPr>
            <w:tcW w:w="3345" w:type="dxa"/>
            <w:vAlign w:val="center"/>
          </w:tcPr>
          <w:p w14:paraId="024B4F92" w14:textId="77777777" w:rsidR="00917DBC" w:rsidRPr="003F1915" w:rsidRDefault="003B5A1F" w:rsidP="003F1915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  <w:r w:rsidR="003F1915"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  <w:p w14:paraId="1E384EEF" w14:textId="77777777" w:rsidR="003B5A1F" w:rsidRDefault="003B5A1F" w:rsidP="003F1915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7138F7D2" w14:textId="77777777" w:rsidR="000F3FBA" w:rsidRDefault="000F3FBA" w:rsidP="000F3FBA">
            <w:pPr>
              <w:pStyle w:val="Akapitzlist"/>
              <w:tabs>
                <w:tab w:val="left" w:pos="223"/>
              </w:tabs>
              <w:spacing w:before="720" w:line="240" w:lineRule="auto"/>
              <w:ind w:left="502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318831B2" w14:textId="77777777" w:rsidR="00EA7D2D" w:rsidRDefault="00EA7D2D" w:rsidP="000F3FBA">
            <w:pPr>
              <w:pStyle w:val="Akapitzlist"/>
              <w:tabs>
                <w:tab w:val="left" w:pos="223"/>
              </w:tabs>
              <w:spacing w:before="720" w:line="240" w:lineRule="auto"/>
              <w:ind w:left="502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50E73DA0" w14:textId="77777777" w:rsidR="005424DD" w:rsidRPr="005424DD" w:rsidRDefault="00917DBC" w:rsidP="005424DD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17DBC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  <w:r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  <w:p w14:paraId="5233F34C" w14:textId="77777777" w:rsidR="00EA7D2D" w:rsidRDefault="00EA7D2D" w:rsidP="00EA7D2D">
            <w:pPr>
              <w:pStyle w:val="Akapitzlist"/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2E099216" w14:textId="77777777" w:rsidR="00EA7D2D" w:rsidRDefault="00EA7D2D" w:rsidP="00EA7D2D">
            <w:pPr>
              <w:pStyle w:val="Akapitzlist"/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403629EA" w14:textId="3C4819AF" w:rsidR="00EA7D2D" w:rsidRDefault="00EA7D2D" w:rsidP="00EA7D2D">
            <w:pPr>
              <w:pStyle w:val="Akapitzlist"/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350E324E" w14:textId="77777777" w:rsidR="00FA70BD" w:rsidRDefault="00FA70BD" w:rsidP="00EA7D2D">
            <w:pPr>
              <w:pStyle w:val="Akapitzlist"/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78F2BA44" w14:textId="77777777" w:rsidR="00917DBC" w:rsidRPr="00917DBC" w:rsidRDefault="00917DBC" w:rsidP="003F1915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  <w:r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  <w:p w14:paraId="12E0AEC1" w14:textId="77777777" w:rsidR="00917DBC" w:rsidRPr="009517DB" w:rsidRDefault="00917DBC" w:rsidP="00917DBC">
            <w:pPr>
              <w:pStyle w:val="Akapitzlist"/>
              <w:tabs>
                <w:tab w:val="left" w:pos="223"/>
              </w:tabs>
              <w:spacing w:before="9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</w:tc>
      </w:tr>
      <w:tr w:rsidR="003B5A1F" w14:paraId="701A857D" w14:textId="77777777" w:rsidTr="005E58F1">
        <w:trPr>
          <w:trHeight w:val="6790"/>
        </w:trPr>
        <w:tc>
          <w:tcPr>
            <w:tcW w:w="846" w:type="dxa"/>
            <w:vAlign w:val="center"/>
          </w:tcPr>
          <w:p w14:paraId="2B53582F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76AD75F" w14:textId="77777777" w:rsidR="003B5A1F" w:rsidRPr="003B5A1F" w:rsidRDefault="003B5A1F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w w:val="100"/>
                <w:sz w:val="22"/>
                <w:szCs w:val="22"/>
              </w:rPr>
              <w:t>Dyski</w:t>
            </w:r>
          </w:p>
        </w:tc>
        <w:tc>
          <w:tcPr>
            <w:tcW w:w="7230" w:type="dxa"/>
            <w:vAlign w:val="center"/>
          </w:tcPr>
          <w:p w14:paraId="18D51841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dyski SAS 10000rpm o pojemnościach: 1.2TB oraz 2.4TB</w:t>
            </w:r>
          </w:p>
          <w:p w14:paraId="421026B1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dyski NL-SAS 7200rpm o pojemnościach: 8TB, 10TB, 12TB</w:t>
            </w:r>
          </w:p>
          <w:p w14:paraId="00A92D2C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dyski SAS Enterprise SSD 2.5” nie mniejszych niż 7.5TB.</w:t>
            </w:r>
          </w:p>
          <w:p w14:paraId="75368E6E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zostać dostarczona z minimum 8 dyskami 1.2TB SAS 10000rpm</w:t>
            </w:r>
          </w:p>
          <w:p w14:paraId="4902FA90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zostać dostarczona z minimum 6 dyskami 8TB NL-SAS 7200rpm</w:t>
            </w:r>
          </w:p>
          <w:p w14:paraId="12533B36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posiadać minimum 2 wolne sloty na instalację dysków SSD typu Enterprise SAS</w:t>
            </w:r>
          </w:p>
          <w:p w14:paraId="1E133261" w14:textId="77777777" w:rsidR="003B5A1F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umożliwić rozbudowę do minimum 180 dysków poprzez dodanie półek dyskowych.</w:t>
            </w:r>
          </w:p>
          <w:p w14:paraId="618069B6" w14:textId="77777777" w:rsidR="000F3FBA" w:rsidRDefault="000F3FBA" w:rsidP="000F3FBA">
            <w:pPr>
              <w:jc w:val="left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</w:p>
          <w:p w14:paraId="25529C39" w14:textId="77777777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FUNKCJONALNOŚĆ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DODATKOWA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6D3FEBD4" w14:textId="3A313AA5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15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2003D930" w14:textId="6AA95C89" w:rsidR="00917DBC" w:rsidRPr="00E43E5A" w:rsidRDefault="00B509DF" w:rsidP="00E43E5A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posiadać min. 16</w:t>
            </w:r>
            <w:r w:rsid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slotów 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na dodatkowe dyski 2</w:t>
            </w:r>
            <w:r w:rsidR="00E43E5A"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.5” oraz z macierzą zostaną dostarczone</w:t>
            </w:r>
            <w:r w:rsid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</w:t>
            </w:r>
            <w:r w:rsidR="00E43E5A"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dodatkowe 4 dyski 1.2TB </w:t>
            </w:r>
            <w:r w:rsidR="00381A19"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SAS 10000rpm</w:t>
            </w:r>
          </w:p>
        </w:tc>
        <w:tc>
          <w:tcPr>
            <w:tcW w:w="3367" w:type="dxa"/>
            <w:gridSpan w:val="2"/>
            <w:vAlign w:val="center"/>
          </w:tcPr>
          <w:p w14:paraId="4EAFBD49" w14:textId="77777777" w:rsidR="00546923" w:rsidRPr="00546923" w:rsidRDefault="00682EEE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6FD71DC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0405E4AF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7122C64B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5E1E1857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398AD6D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5342170C" w14:textId="77777777" w:rsidR="00E15B07" w:rsidRDefault="009517DB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>
              <w:rPr>
                <w:rFonts w:ascii="Verdana" w:hAnsi="Verdana"/>
                <w:w w:val="100"/>
                <w:sz w:val="24"/>
                <w:szCs w:val="24"/>
              </w:rPr>
              <w:t>s</w:t>
            </w:r>
            <w:r w:rsidR="00E15B07" w:rsidRPr="00E15B07">
              <w:rPr>
                <w:rFonts w:ascii="Verdana" w:hAnsi="Verdana"/>
                <w:w w:val="100"/>
                <w:sz w:val="24"/>
                <w:szCs w:val="24"/>
              </w:rPr>
              <w:t>pełnia/nie spełnia *</w:t>
            </w:r>
          </w:p>
          <w:p w14:paraId="4954ADE6" w14:textId="50A01B8F" w:rsidR="00BD4057" w:rsidRDefault="00BD4057" w:rsidP="00BD4057">
            <w:pPr>
              <w:pStyle w:val="Akapitzlist"/>
              <w:tabs>
                <w:tab w:val="left" w:pos="223"/>
              </w:tabs>
              <w:spacing w:before="480" w:line="276" w:lineRule="auto"/>
              <w:ind w:left="460" w:right="141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294E0FF9" w14:textId="77777777" w:rsidR="00BD4057" w:rsidRDefault="00BD4057" w:rsidP="00BD4057">
            <w:pPr>
              <w:pStyle w:val="Akapitzlist"/>
              <w:tabs>
                <w:tab w:val="left" w:pos="223"/>
              </w:tabs>
              <w:spacing w:before="480" w:line="276" w:lineRule="auto"/>
              <w:ind w:left="460" w:right="141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297B0924" w14:textId="51692246" w:rsidR="00E43E5A" w:rsidRPr="00E43E5A" w:rsidRDefault="00E43E5A" w:rsidP="00BD4057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60" w:right="141"/>
              <w:rPr>
                <w:rFonts w:ascii="Verdana" w:hAnsi="Verdana"/>
                <w:w w:val="100"/>
                <w:sz w:val="24"/>
                <w:szCs w:val="24"/>
              </w:rPr>
            </w:pPr>
            <w:r>
              <w:rPr>
                <w:rFonts w:ascii="Verdana" w:hAnsi="Verdana"/>
                <w:w w:val="100"/>
                <w:sz w:val="24"/>
                <w:szCs w:val="24"/>
              </w:rPr>
              <w:t>s</w:t>
            </w:r>
            <w:r w:rsidRPr="00E15B07">
              <w:rPr>
                <w:rFonts w:ascii="Verdana" w:hAnsi="Verdana"/>
                <w:w w:val="100"/>
                <w:sz w:val="24"/>
                <w:szCs w:val="24"/>
              </w:rPr>
              <w:t>pełnia/nie spełnia *</w:t>
            </w:r>
            <w:r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</w:tc>
      </w:tr>
      <w:tr w:rsidR="003B5A1F" w14:paraId="64A13F24" w14:textId="77777777" w:rsidTr="005E58F1">
        <w:trPr>
          <w:trHeight w:val="1697"/>
        </w:trPr>
        <w:tc>
          <w:tcPr>
            <w:tcW w:w="846" w:type="dxa"/>
            <w:vAlign w:val="center"/>
          </w:tcPr>
          <w:p w14:paraId="447FFD54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D264F29" w14:textId="77777777" w:rsidR="003B5A1F" w:rsidRPr="003B5A1F" w:rsidRDefault="00E15B07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E15B07">
              <w:rPr>
                <w:rFonts w:ascii="Verdana" w:hAnsi="Verdana"/>
                <w:w w:val="100"/>
                <w:sz w:val="22"/>
                <w:szCs w:val="22"/>
              </w:rPr>
              <w:t>Interfejsy kontrolerów – każdy z redundantnych kontrolerów macierzy musi posiadać</w:t>
            </w:r>
          </w:p>
        </w:tc>
        <w:tc>
          <w:tcPr>
            <w:tcW w:w="7230" w:type="dxa"/>
            <w:vAlign w:val="center"/>
          </w:tcPr>
          <w:p w14:paraId="41B7DB52" w14:textId="77777777" w:rsidR="00E15B07" w:rsidRPr="009517DB" w:rsidRDefault="00E15B07" w:rsidP="006B0483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4 porty FC, obsadzone modułami światłowodowymi SFP+ 8 Gb/s</w:t>
            </w:r>
          </w:p>
          <w:p w14:paraId="4565A358" w14:textId="77777777" w:rsidR="00E15B07" w:rsidRDefault="00E15B07" w:rsidP="006B0483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port rozszerzeń SAS 12 Gb/s (do podłączenia półek dyskowych)</w:t>
            </w:r>
          </w:p>
          <w:p w14:paraId="6738368A" w14:textId="77777777" w:rsidR="003B5A1F" w:rsidRPr="009517DB" w:rsidRDefault="00E15B07" w:rsidP="006B0483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umożliwiać wymianę portów 4xFC na 2x40GbE lub 2x25GbE</w:t>
            </w:r>
          </w:p>
        </w:tc>
        <w:tc>
          <w:tcPr>
            <w:tcW w:w="3367" w:type="dxa"/>
            <w:gridSpan w:val="2"/>
            <w:vAlign w:val="center"/>
          </w:tcPr>
          <w:p w14:paraId="72914896" w14:textId="77777777" w:rsidR="00546923" w:rsidRPr="00546923" w:rsidRDefault="00682EEE" w:rsidP="006B0483">
            <w:pPr>
              <w:pStyle w:val="Akapitzlist"/>
              <w:numPr>
                <w:ilvl w:val="0"/>
                <w:numId w:val="10"/>
              </w:numPr>
              <w:tabs>
                <w:tab w:val="left" w:pos="223"/>
              </w:tabs>
              <w:spacing w:before="3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A9A9761" w14:textId="77777777" w:rsidR="00546923" w:rsidRPr="00546923" w:rsidRDefault="00E15B07" w:rsidP="006B0483">
            <w:pPr>
              <w:pStyle w:val="Akapitzlist"/>
              <w:numPr>
                <w:ilvl w:val="0"/>
                <w:numId w:val="10"/>
              </w:numPr>
              <w:tabs>
                <w:tab w:val="left" w:pos="223"/>
              </w:tabs>
              <w:spacing w:before="3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7AE4BDE" w14:textId="77777777" w:rsidR="00E15B07" w:rsidRPr="009517DB" w:rsidRDefault="00E15B07" w:rsidP="006B0483">
            <w:pPr>
              <w:pStyle w:val="Akapitzlist"/>
              <w:numPr>
                <w:ilvl w:val="0"/>
                <w:numId w:val="10"/>
              </w:numPr>
              <w:tabs>
                <w:tab w:val="left" w:pos="223"/>
              </w:tabs>
              <w:spacing w:before="3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3B5A1F" w14:paraId="4595749E" w14:textId="77777777" w:rsidTr="00682EEE">
        <w:trPr>
          <w:trHeight w:val="1304"/>
        </w:trPr>
        <w:tc>
          <w:tcPr>
            <w:tcW w:w="846" w:type="dxa"/>
            <w:vAlign w:val="center"/>
          </w:tcPr>
          <w:p w14:paraId="19002A76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669B74D" w14:textId="77777777" w:rsidR="003B5A1F" w:rsidRPr="003B5A1F" w:rsidRDefault="00E15B07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E15B07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RAID</w:t>
            </w:r>
          </w:p>
        </w:tc>
        <w:tc>
          <w:tcPr>
            <w:tcW w:w="7230" w:type="dxa"/>
            <w:vAlign w:val="center"/>
          </w:tcPr>
          <w:p w14:paraId="10A9D4ED" w14:textId="73821700" w:rsidR="003B5A1F" w:rsidRPr="009517DB" w:rsidRDefault="005E58F1" w:rsidP="00381A19">
            <w:pPr>
              <w:pStyle w:val="Akapitzlist"/>
              <w:numPr>
                <w:ilvl w:val="0"/>
                <w:numId w:val="6"/>
              </w:numPr>
              <w:spacing w:before="0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RAID: 0, 1, 5, 6</w:t>
            </w:r>
            <w:r w:rsidR="00381A19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,</w:t>
            </w:r>
            <w:r w:rsidR="00381A19"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10</w:t>
            </w: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2"/>
            <w:vAlign w:val="center"/>
          </w:tcPr>
          <w:p w14:paraId="5E5A344E" w14:textId="77777777" w:rsidR="003B5A1F" w:rsidRPr="009517DB" w:rsidRDefault="00E15B07" w:rsidP="006B0483">
            <w:pPr>
              <w:pStyle w:val="Akapitzlist"/>
              <w:numPr>
                <w:ilvl w:val="0"/>
                <w:numId w:val="11"/>
              </w:numPr>
              <w:tabs>
                <w:tab w:val="left" w:pos="223"/>
              </w:tabs>
              <w:spacing w:before="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682EEE" w14:paraId="052BD84C" w14:textId="77777777" w:rsidTr="00DA1AB0">
        <w:trPr>
          <w:trHeight w:val="2636"/>
        </w:trPr>
        <w:tc>
          <w:tcPr>
            <w:tcW w:w="846" w:type="dxa"/>
            <w:vAlign w:val="center"/>
          </w:tcPr>
          <w:p w14:paraId="11A7BAE7" w14:textId="77777777" w:rsidR="00682EEE" w:rsidRPr="009517DB" w:rsidRDefault="00682EEE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AB9D9CD" w14:textId="77777777" w:rsidR="00682EEE" w:rsidRPr="003B5A1F" w:rsidRDefault="009517DB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517DB">
              <w:rPr>
                <w:rFonts w:ascii="Verdana" w:hAnsi="Verdana"/>
                <w:w w:val="100"/>
                <w:sz w:val="22"/>
                <w:szCs w:val="22"/>
              </w:rPr>
              <w:t>Protokoły blokowe</w:t>
            </w:r>
          </w:p>
        </w:tc>
        <w:tc>
          <w:tcPr>
            <w:tcW w:w="7230" w:type="dxa"/>
            <w:vAlign w:val="center"/>
          </w:tcPr>
          <w:p w14:paraId="76E57BEA" w14:textId="77777777" w:rsidR="009517DB" w:rsidRDefault="009517DB" w:rsidP="006B048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before="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natywny protokół FC</w:t>
            </w:r>
          </w:p>
          <w:p w14:paraId="5CCFB62B" w14:textId="77777777" w:rsidR="009517DB" w:rsidRPr="009517DB" w:rsidRDefault="009517DB" w:rsidP="00DA1AB0">
            <w:pPr>
              <w:pStyle w:val="Akapitzlist"/>
              <w:autoSpaceDE/>
              <w:autoSpaceDN/>
              <w:spacing w:before="240" w:after="36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278C7AB2" w14:textId="77777777" w:rsidR="009517DB" w:rsidRDefault="009517DB" w:rsidP="006B048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before="0" w:after="36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natywny protokół iSCSI</w:t>
            </w:r>
          </w:p>
          <w:p w14:paraId="534BC7CB" w14:textId="77777777" w:rsidR="009517DB" w:rsidRPr="009517DB" w:rsidRDefault="009517DB" w:rsidP="009517DB">
            <w:pPr>
              <w:pStyle w:val="Akapitzlist"/>
              <w:autoSpaceDE/>
              <w:autoSpaceDN/>
              <w:spacing w:before="0" w:after="36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1D3C9B61" w14:textId="77777777" w:rsidR="00682EEE" w:rsidRPr="009517DB" w:rsidRDefault="009517DB" w:rsidP="006B048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before="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Jeśli wymagane są licencje Wykonawca dostarczy je wraz z macierzą – bez ograniczenia pojemności przy rozbudowie o nowe dyski twarde.</w:t>
            </w:r>
          </w:p>
        </w:tc>
        <w:tc>
          <w:tcPr>
            <w:tcW w:w="3367" w:type="dxa"/>
            <w:gridSpan w:val="2"/>
            <w:vAlign w:val="center"/>
          </w:tcPr>
          <w:p w14:paraId="3921898B" w14:textId="77777777" w:rsidR="00DA1AB0" w:rsidRPr="00546923" w:rsidRDefault="00682EEE" w:rsidP="006B0483">
            <w:pPr>
              <w:pStyle w:val="Akapitzlist"/>
              <w:numPr>
                <w:ilvl w:val="0"/>
                <w:numId w:val="13"/>
              </w:numPr>
              <w:tabs>
                <w:tab w:val="left" w:pos="223"/>
              </w:tabs>
              <w:spacing w:before="4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56A660E7" w14:textId="77777777" w:rsidR="00DA1AB0" w:rsidRPr="00546923" w:rsidRDefault="00DA1AB0" w:rsidP="006B0483">
            <w:pPr>
              <w:pStyle w:val="Akapitzlist"/>
              <w:numPr>
                <w:ilvl w:val="0"/>
                <w:numId w:val="13"/>
              </w:numPr>
              <w:tabs>
                <w:tab w:val="left" w:pos="223"/>
              </w:tabs>
              <w:spacing w:before="4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7E05BBA" w14:textId="77777777" w:rsidR="00DA1AB0" w:rsidRPr="009517DB" w:rsidRDefault="00DA1AB0" w:rsidP="006B0483">
            <w:pPr>
              <w:pStyle w:val="Akapitzlist"/>
              <w:numPr>
                <w:ilvl w:val="0"/>
                <w:numId w:val="13"/>
              </w:numPr>
              <w:tabs>
                <w:tab w:val="left" w:pos="223"/>
              </w:tabs>
              <w:spacing w:before="4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682EEE" w14:paraId="11656C45" w14:textId="77777777" w:rsidTr="00682EEE">
        <w:trPr>
          <w:trHeight w:val="1304"/>
        </w:trPr>
        <w:tc>
          <w:tcPr>
            <w:tcW w:w="846" w:type="dxa"/>
            <w:vAlign w:val="center"/>
          </w:tcPr>
          <w:p w14:paraId="7E159A65" w14:textId="77777777" w:rsidR="00682EEE" w:rsidRPr="009517DB" w:rsidRDefault="00682EEE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DD11D23" w14:textId="77777777" w:rsidR="00682EEE" w:rsidRPr="003B5A1F" w:rsidRDefault="00DA1AB0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w w:val="100"/>
                <w:sz w:val="22"/>
                <w:szCs w:val="22"/>
              </w:rPr>
              <w:t>Niezawodność</w:t>
            </w:r>
          </w:p>
        </w:tc>
        <w:tc>
          <w:tcPr>
            <w:tcW w:w="7230" w:type="dxa"/>
            <w:vAlign w:val="center"/>
          </w:tcPr>
          <w:p w14:paraId="7A5798B6" w14:textId="77777777" w:rsidR="00682EEE" w:rsidRPr="00DA1AB0" w:rsidRDefault="00DA1AB0" w:rsidP="006B0483">
            <w:pPr>
              <w:pStyle w:val="Akapitzlist"/>
              <w:numPr>
                <w:ilvl w:val="0"/>
                <w:numId w:val="14"/>
              </w:numPr>
              <w:spacing w:before="240" w:after="360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Krytyczne komponenty macierzy takie jak: kontrolery dyskowe, pamięć cache, moduły komunikacyjne w półkach dyskowych, kontrolery dyskowe, pamięć cache, moduły komunikacyjne w półkach dyskowych, zasilacze muszą być redundantne, tak aby awaria pojedynczego elementu nie uniemożliwiała funkcjonowania całego systemu.</w:t>
            </w:r>
          </w:p>
        </w:tc>
        <w:tc>
          <w:tcPr>
            <w:tcW w:w="3367" w:type="dxa"/>
            <w:gridSpan w:val="2"/>
            <w:vAlign w:val="center"/>
          </w:tcPr>
          <w:p w14:paraId="0D8A6586" w14:textId="77777777" w:rsidR="00682EEE" w:rsidRPr="009517DB" w:rsidRDefault="00682EEE" w:rsidP="006B0483">
            <w:pPr>
              <w:pStyle w:val="Akapitzlist"/>
              <w:numPr>
                <w:ilvl w:val="0"/>
                <w:numId w:val="15"/>
              </w:numPr>
              <w:tabs>
                <w:tab w:val="left" w:pos="223"/>
              </w:tabs>
              <w:spacing w:before="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682EEE" w14:paraId="123EE568" w14:textId="77777777" w:rsidTr="00546923">
        <w:trPr>
          <w:trHeight w:val="9199"/>
        </w:trPr>
        <w:tc>
          <w:tcPr>
            <w:tcW w:w="846" w:type="dxa"/>
            <w:vAlign w:val="center"/>
          </w:tcPr>
          <w:p w14:paraId="7AF75B72" w14:textId="77777777" w:rsidR="00682EEE" w:rsidRPr="009517DB" w:rsidRDefault="00682EEE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E7C1015" w14:textId="77777777" w:rsidR="00682EEE" w:rsidRPr="003B5A1F" w:rsidRDefault="00DA1AB0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A1AB0">
              <w:rPr>
                <w:rFonts w:ascii="Verdana" w:hAnsi="Verdana"/>
                <w:w w:val="100"/>
                <w:sz w:val="22"/>
                <w:szCs w:val="22"/>
              </w:rPr>
              <w:t>Zarządzanie</w:t>
            </w:r>
          </w:p>
        </w:tc>
        <w:tc>
          <w:tcPr>
            <w:tcW w:w="7230" w:type="dxa"/>
            <w:vAlign w:val="center"/>
          </w:tcPr>
          <w:p w14:paraId="7881F694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Graficzny interfejs dostępny przez przeglądarkę oraz interfejs tekstowy przez szyfrowane połączenie (HTTPS).</w:t>
            </w:r>
          </w:p>
          <w:p w14:paraId="2CDD7CD5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Musi istnieć możliwość bezpośredniego monitoringu stanu w jakim w danym momencie macierz się znajduje.</w:t>
            </w:r>
          </w:p>
          <w:p w14:paraId="480AD4F7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Dane o parametrach utylizacji macierzy muszą być dostępne w interfejsie GUI.</w:t>
            </w:r>
          </w:p>
          <w:p w14:paraId="6298DC8C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Wymagane jest aby dostarczona macierz posiadała interfejs zarządzający GUI oraz CLI (konsola szeregowa RS232 lub RJ45 oraz SSH).</w:t>
            </w:r>
          </w:p>
          <w:p w14:paraId="1D51D861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Możliwość zarządzania całością dostępnych zasobów dyskowych z jednej konsoli administracyjnej.</w:t>
            </w:r>
          </w:p>
          <w:p w14:paraId="67E6BBD5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Musi istnieć możliwość bezpośredniego monitoringu stanu w jakim w danym momencie macierz się znajduje.</w:t>
            </w:r>
          </w:p>
          <w:p w14:paraId="19C0B5DE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Oprogramowanie monitorujące pracę macierzy musi umożliwiać monitorowanie w zakresie dostarczanej macierzy dyskowej zasobów blokowych:</w:t>
            </w:r>
          </w:p>
          <w:p w14:paraId="110DD72C" w14:textId="77777777" w:rsidR="00DA1AB0" w:rsidRPr="00DA1AB0" w:rsidRDefault="00DA1AB0" w:rsidP="006B0483">
            <w:pPr>
              <w:pStyle w:val="Akapitzlist"/>
              <w:numPr>
                <w:ilvl w:val="0"/>
                <w:numId w:val="17"/>
              </w:numPr>
              <w:ind w:left="1494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Przestrzeni macierzy - całościowa, wolna, wykorzystywana;</w:t>
            </w:r>
          </w:p>
          <w:p w14:paraId="5B047E70" w14:textId="77777777" w:rsidR="00DA1AB0" w:rsidRPr="00DA1AB0" w:rsidRDefault="00DA1AB0" w:rsidP="006B0483">
            <w:pPr>
              <w:pStyle w:val="Akapitzlist"/>
              <w:numPr>
                <w:ilvl w:val="0"/>
                <w:numId w:val="17"/>
              </w:numPr>
              <w:ind w:left="1494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Przestrzeni macierzy j.w. z podziałem na poszczególne grupy RAID/wolumeny,</w:t>
            </w:r>
          </w:p>
          <w:p w14:paraId="56736527" w14:textId="77777777" w:rsidR="00682EEE" w:rsidRPr="00DA1AB0" w:rsidRDefault="00DA1AB0" w:rsidP="006B0483">
            <w:pPr>
              <w:pStyle w:val="Akapitzlist"/>
              <w:numPr>
                <w:ilvl w:val="0"/>
                <w:numId w:val="17"/>
              </w:numPr>
              <w:ind w:left="1494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Wydajności – mierzonej w IOPS oraz MB/s dla zasobów blokowych;</w:t>
            </w:r>
          </w:p>
        </w:tc>
        <w:tc>
          <w:tcPr>
            <w:tcW w:w="3367" w:type="dxa"/>
            <w:gridSpan w:val="2"/>
            <w:vAlign w:val="center"/>
          </w:tcPr>
          <w:p w14:paraId="23FC7A89" w14:textId="77777777" w:rsidR="00DA1AB0" w:rsidRPr="00546923" w:rsidRDefault="00682EEE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7F5ACCB" w14:textId="77777777" w:rsidR="00DA1AB0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16F2A51D" w14:textId="77777777" w:rsidR="00DA1AB0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75B51A4E" w14:textId="77777777" w:rsidR="00DA1AB0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3FBF1B32" w14:textId="77777777" w:rsidR="00DA1AB0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183268E" w14:textId="77777777" w:rsidR="00546923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3F6AE3D0" w14:textId="77777777" w:rsidR="00DA1AB0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02B26E52" w14:textId="77777777" w:rsidR="00546923" w:rsidRPr="009517DB" w:rsidRDefault="00546923" w:rsidP="00546923">
            <w:pPr>
              <w:pStyle w:val="Akapitzlist"/>
              <w:tabs>
                <w:tab w:val="left" w:pos="223"/>
              </w:tabs>
              <w:spacing w:before="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</w:tc>
      </w:tr>
      <w:tr w:rsidR="00682EEE" w14:paraId="3B1EEF84" w14:textId="77777777" w:rsidTr="00DA1AB0">
        <w:trPr>
          <w:trHeight w:val="1304"/>
        </w:trPr>
        <w:tc>
          <w:tcPr>
            <w:tcW w:w="846" w:type="dxa"/>
            <w:vAlign w:val="center"/>
          </w:tcPr>
          <w:p w14:paraId="11F3814E" w14:textId="77777777" w:rsidR="00682EEE" w:rsidRPr="009517DB" w:rsidRDefault="00682EEE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5B4527F" w14:textId="77777777" w:rsidR="00682EEE" w:rsidRPr="003B5A1F" w:rsidRDefault="00DA1AB0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A1AB0">
              <w:rPr>
                <w:rFonts w:ascii="Verdana" w:hAnsi="Verdana"/>
                <w:w w:val="100"/>
                <w:sz w:val="22"/>
                <w:szCs w:val="22"/>
              </w:rPr>
              <w:t>Aktualizacja firmware</w:t>
            </w:r>
          </w:p>
        </w:tc>
        <w:tc>
          <w:tcPr>
            <w:tcW w:w="7230" w:type="dxa"/>
            <w:vAlign w:val="center"/>
          </w:tcPr>
          <w:p w14:paraId="31CD9EB7" w14:textId="77777777" w:rsidR="00682EEE" w:rsidRPr="00DA1AB0" w:rsidRDefault="00DA1AB0" w:rsidP="006B0483">
            <w:pPr>
              <w:pStyle w:val="Akapitzlist"/>
              <w:numPr>
                <w:ilvl w:val="0"/>
                <w:numId w:val="19"/>
              </w:numPr>
              <w:ind w:left="723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umożliwiać wykonywanie aktualizacji mikrokodu macierzy w trybie online bez przerywania dostępu do zasobów dyskowych macierzy i przerywania pracy aplikacji.</w:t>
            </w:r>
          </w:p>
        </w:tc>
        <w:tc>
          <w:tcPr>
            <w:tcW w:w="3367" w:type="dxa"/>
            <w:gridSpan w:val="2"/>
            <w:vAlign w:val="center"/>
          </w:tcPr>
          <w:p w14:paraId="384E9E62" w14:textId="77777777" w:rsidR="00682EEE" w:rsidRPr="009517DB" w:rsidRDefault="00682EEE" w:rsidP="006B0483">
            <w:pPr>
              <w:pStyle w:val="Akapitzlist"/>
              <w:numPr>
                <w:ilvl w:val="0"/>
                <w:numId w:val="20"/>
              </w:numPr>
              <w:tabs>
                <w:tab w:val="left" w:pos="223"/>
              </w:tabs>
              <w:spacing w:before="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DA1AB0" w14:paraId="15FA6234" w14:textId="77777777" w:rsidTr="00682EEE">
        <w:trPr>
          <w:trHeight w:val="1304"/>
        </w:trPr>
        <w:tc>
          <w:tcPr>
            <w:tcW w:w="846" w:type="dxa"/>
            <w:vAlign w:val="center"/>
          </w:tcPr>
          <w:p w14:paraId="2CD77398" w14:textId="77777777" w:rsidR="00DA1AB0" w:rsidRPr="009517DB" w:rsidRDefault="00DA1AB0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07A637C" w14:textId="77777777" w:rsidR="00DA1AB0" w:rsidRPr="003B5A1F" w:rsidRDefault="00DA1AB0" w:rsidP="00DA1AB0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Funkcje macierzy</w:t>
            </w:r>
          </w:p>
        </w:tc>
        <w:tc>
          <w:tcPr>
            <w:tcW w:w="7230" w:type="dxa"/>
            <w:vAlign w:val="center"/>
          </w:tcPr>
          <w:p w14:paraId="52478102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zapewniać funkcjonalność udostępniania przestrzeni bez konieczności fizycznego alokowania wolnego miejsca na dyskach (thin provisioning). Jeżeli funkcjonalność wymaga licencji, należy taką licencję zaoferować dla całej macierzy  w maksymalnej konfiguracji (pojemność).</w:t>
            </w:r>
          </w:p>
          <w:p w14:paraId="1C2D1853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Auto-Tiering (okresowe przenoszenie bloków pomiędzy dyskami wolnymi </w:t>
            </w:r>
          </w:p>
          <w:p w14:paraId="090ADF87" w14:textId="77777777" w:rsidR="00DA1AB0" w:rsidRPr="00DA1AB0" w:rsidRDefault="00DA1AB0" w:rsidP="00302FDD">
            <w:pPr>
              <w:pStyle w:val="Akapitzlist"/>
              <w:ind w:left="720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i szybkimi) lub SSD-Cache dla operacji odczytu dla minimalnej pojemności – 2 TB. Jeżeli funkcjonalność wymaga licencji nie jest wymagane jej dostarczenie na tym etapie postępowania.</w:t>
            </w:r>
          </w:p>
          <w:p w14:paraId="012DFA70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LUN Mapping. Sterowniki do obsługi wielościeżkowego dostępu do wolumenów, awarii ścieżki i rozłożenia obciążenia po ścieżkach dostępu powinny być dostępne dla podłączanych systemów operacyjnych.</w:t>
            </w:r>
          </w:p>
          <w:p w14:paraId="5BED5D99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wspierać obsługę minimum 2000 LUN.</w:t>
            </w:r>
          </w:p>
          <w:p w14:paraId="3C2C984A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posiadać funkcjonalność zwiększania rozmiaru wolumenów</w:t>
            </w:r>
          </w:p>
          <w:p w14:paraId="15DB2ECB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lastRenderedPageBreak/>
              <w:t>Macierz powinna zapewniać wykonywanie kopii migawkowych. Rozwiązanie ma automatycznie powiększać kopie migawkowe razem z przyrostem danych (tzw. delta). Jeśli wymagana jest licencja umożliwiająca wykorzystanie powyższej funkcjonalności, wykonawca dostarczy ją wraz z macierzą.</w:t>
            </w:r>
          </w:p>
          <w:p w14:paraId="149EE868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wspierać mechanizm lokalnej replikacji w ramach macierzy. Jeśli funkcja wymaga licencji należy ją dostarczyć wraz z macierzą.</w:t>
            </w:r>
          </w:p>
          <w:p w14:paraId="2F469C46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wspierać mechanizm zdalnej replikacji z poziomu macierzy na drugą zapasową macierz, w trybie synchronicznym oraz asynchronicznym. Licencja na powyższą funkcjonalność nie jest wymagana na tym etapie zamówienia.</w:t>
            </w:r>
          </w:p>
        </w:tc>
        <w:tc>
          <w:tcPr>
            <w:tcW w:w="3367" w:type="dxa"/>
            <w:gridSpan w:val="2"/>
            <w:vAlign w:val="center"/>
          </w:tcPr>
          <w:p w14:paraId="42E5EFA3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</w:p>
          <w:p w14:paraId="0A2721A0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1A41AFB3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64FE1ED2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03F1525B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5BF12E65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E8DC184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</w:p>
          <w:p w14:paraId="2F45C337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25EDBCA" w14:textId="77777777" w:rsidR="00DA1AB0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C22A0D0" w14:textId="77777777" w:rsidR="00DA1AB0" w:rsidRDefault="00DA1AB0" w:rsidP="00DA1AB0">
            <w:pPr>
              <w:pStyle w:val="Akapitzlist"/>
              <w:tabs>
                <w:tab w:val="left" w:pos="223"/>
              </w:tabs>
              <w:spacing w:before="0" w:line="240" w:lineRule="auto"/>
              <w:ind w:left="11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47800987" w14:textId="77777777" w:rsidR="00DA1AB0" w:rsidRPr="009517DB" w:rsidRDefault="00DA1AB0" w:rsidP="00DA1AB0">
            <w:pPr>
              <w:pStyle w:val="Akapitzlist"/>
              <w:tabs>
                <w:tab w:val="left" w:pos="223"/>
              </w:tabs>
              <w:spacing w:before="0" w:line="240" w:lineRule="auto"/>
              <w:ind w:left="113"/>
              <w:rPr>
                <w:rFonts w:ascii="Verdana" w:hAnsi="Verdana"/>
                <w:w w:val="100"/>
                <w:sz w:val="24"/>
                <w:szCs w:val="24"/>
              </w:rPr>
            </w:pPr>
          </w:p>
        </w:tc>
      </w:tr>
      <w:tr w:rsidR="00E43E5A" w14:paraId="1D0C9378" w14:textId="77777777" w:rsidTr="00682EEE">
        <w:trPr>
          <w:trHeight w:val="1304"/>
        </w:trPr>
        <w:tc>
          <w:tcPr>
            <w:tcW w:w="846" w:type="dxa"/>
            <w:vAlign w:val="center"/>
          </w:tcPr>
          <w:p w14:paraId="4196166B" w14:textId="77777777" w:rsidR="00E43E5A" w:rsidRPr="009517DB" w:rsidRDefault="00E43E5A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5E6E32F" w14:textId="77777777" w:rsidR="00E43E5A" w:rsidRDefault="00E43E5A" w:rsidP="00DA1AB0">
            <w:pPr>
              <w:spacing w:before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Rozbudowa</w:t>
            </w:r>
          </w:p>
        </w:tc>
        <w:tc>
          <w:tcPr>
            <w:tcW w:w="7230" w:type="dxa"/>
            <w:vAlign w:val="center"/>
          </w:tcPr>
          <w:p w14:paraId="32C780D3" w14:textId="77777777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FUNKCJONALNOŚĆ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DODATKOWA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2AA5EF6D" w14:textId="60B93DAE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10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08DF002B" w14:textId="77777777" w:rsidR="00E43E5A" w:rsidRDefault="00924FD4" w:rsidP="000F3FBA">
            <w:pPr>
              <w:pStyle w:val="Akapitzlist"/>
              <w:numPr>
                <w:ilvl w:val="0"/>
                <w:numId w:val="53"/>
              </w:numPr>
              <w:ind w:left="738" w:hanging="425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</w:t>
            </w:r>
            <w:r w:rsidR="00E43E5A"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ożliwość rozbudowy o funkcje za pomocą licencji (bez wymiany kontrolerów). Dostarczenie tych licencji nie jest wymagane na tym etapie postępowania.</w:t>
            </w:r>
          </w:p>
          <w:p w14:paraId="6E1625FE" w14:textId="77777777" w:rsidR="00E43E5A" w:rsidRDefault="00E43E5A" w:rsidP="00E43E5A">
            <w:pPr>
              <w:pStyle w:val="Akapitzlist"/>
              <w:numPr>
                <w:ilvl w:val="0"/>
                <w:numId w:val="52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Wirtualizacja macierzy innych producentów i udostępnianie ich jako własnych zasobów</w:t>
            </w:r>
          </w:p>
          <w:p w14:paraId="62BC8033" w14:textId="77777777" w:rsidR="00E43E5A" w:rsidRDefault="00E43E5A" w:rsidP="00E43E5A">
            <w:pPr>
              <w:pStyle w:val="Akapitzlist"/>
              <w:numPr>
                <w:ilvl w:val="0"/>
                <w:numId w:val="52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Kompresja i deduplikacja danych na macierzy</w:t>
            </w:r>
          </w:p>
          <w:p w14:paraId="748F1956" w14:textId="77777777" w:rsidR="00E43E5A" w:rsidRPr="00E43E5A" w:rsidRDefault="00E43E5A" w:rsidP="00E43E5A">
            <w:pPr>
              <w:pStyle w:val="Akapitzlist"/>
              <w:numPr>
                <w:ilvl w:val="0"/>
                <w:numId w:val="52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lastRenderedPageBreak/>
              <w:t>Replikacja danych on-line bez przerywania prezentacji wolumenów dyskowych (tzw. Metro Cluster)</w:t>
            </w:r>
          </w:p>
        </w:tc>
        <w:tc>
          <w:tcPr>
            <w:tcW w:w="3367" w:type="dxa"/>
            <w:gridSpan w:val="2"/>
            <w:vAlign w:val="center"/>
          </w:tcPr>
          <w:p w14:paraId="30CBFF44" w14:textId="606089D3" w:rsidR="005424DD" w:rsidRPr="005424DD" w:rsidRDefault="00E43E5A" w:rsidP="00BD4057">
            <w:pPr>
              <w:pStyle w:val="Akapitzlist"/>
              <w:numPr>
                <w:ilvl w:val="0"/>
                <w:numId w:val="50"/>
              </w:numPr>
              <w:tabs>
                <w:tab w:val="left" w:pos="223"/>
              </w:tabs>
              <w:spacing w:before="1080" w:line="240" w:lineRule="auto"/>
              <w:ind w:left="460" w:hanging="426"/>
              <w:rPr>
                <w:rFonts w:ascii="Verdana" w:hAnsi="Verdana"/>
                <w:w w:val="100"/>
                <w:sz w:val="24"/>
                <w:szCs w:val="24"/>
              </w:rPr>
            </w:pPr>
            <w:r w:rsidRPr="00E43E5A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  <w:r w:rsidR="00E775F5"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</w:tc>
      </w:tr>
      <w:tr w:rsidR="000F3FBA" w14:paraId="6C12B537" w14:textId="77777777" w:rsidTr="000F3FBA">
        <w:trPr>
          <w:trHeight w:val="2897"/>
        </w:trPr>
        <w:tc>
          <w:tcPr>
            <w:tcW w:w="846" w:type="dxa"/>
            <w:vMerge w:val="restart"/>
            <w:vAlign w:val="center"/>
          </w:tcPr>
          <w:p w14:paraId="06822C2D" w14:textId="77777777" w:rsidR="000F3FBA" w:rsidRPr="009517DB" w:rsidRDefault="000F3FBA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AE57C0F" w14:textId="77777777" w:rsidR="000F3FBA" w:rsidRPr="003B5A1F" w:rsidRDefault="000F3FBA" w:rsidP="00DA1AB0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30" w:type="dxa"/>
            <w:vAlign w:val="center"/>
          </w:tcPr>
          <w:p w14:paraId="2AE8D6ED" w14:textId="35035CCF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GWARANCJA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DODATKOWO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418A17D1" w14:textId="772273A6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15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6DBC25C4" w14:textId="430F449C" w:rsidR="000F3FBA" w:rsidRPr="000F3FBA" w:rsidRDefault="00BD4057" w:rsidP="00BD4057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Dodatkowe 24 miesiące </w:t>
            </w:r>
            <w:r w:rsidR="000F3FBA"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wsparcia producenta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powyżej wymaganego minimum</w:t>
            </w:r>
          </w:p>
        </w:tc>
        <w:tc>
          <w:tcPr>
            <w:tcW w:w="3367" w:type="dxa"/>
            <w:gridSpan w:val="2"/>
            <w:vAlign w:val="center"/>
          </w:tcPr>
          <w:p w14:paraId="7E0D05D5" w14:textId="138A8AD9" w:rsidR="00BD4057" w:rsidRPr="00BD4057" w:rsidRDefault="00BD4057" w:rsidP="00BD4057">
            <w:p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6601BF3F" w14:textId="3BC7E05A" w:rsidR="000F3FBA" w:rsidRPr="000F3FBA" w:rsidRDefault="000F3FBA" w:rsidP="00BD4057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  <w:r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</w:tc>
      </w:tr>
      <w:tr w:rsidR="000F3FBA" w14:paraId="26DD3550" w14:textId="77777777" w:rsidTr="00682EEE">
        <w:trPr>
          <w:trHeight w:val="2896"/>
        </w:trPr>
        <w:tc>
          <w:tcPr>
            <w:tcW w:w="846" w:type="dxa"/>
            <w:vMerge/>
            <w:vAlign w:val="center"/>
          </w:tcPr>
          <w:p w14:paraId="24BEFD50" w14:textId="77777777" w:rsidR="000F3FBA" w:rsidRPr="009517DB" w:rsidRDefault="000F3FBA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E08A321" w14:textId="77777777" w:rsidR="000F3FBA" w:rsidRDefault="000F3FBA" w:rsidP="00DA1AB0">
            <w:pPr>
              <w:spacing w:before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40FB836A" w14:textId="68A8D12E" w:rsidR="00BD4057" w:rsidRDefault="00BD4057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12 miesięcy wsparcia producenta</w:t>
            </w:r>
          </w:p>
          <w:p w14:paraId="3C670440" w14:textId="72945E88" w:rsidR="000F3FBA" w:rsidRPr="00546923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bezpłatne aktualizacje firmware</w:t>
            </w:r>
          </w:p>
          <w:p w14:paraId="571AEE3B" w14:textId="77777777" w:rsidR="000F3FBA" w:rsidRPr="00546923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wymianę uszkodzonego komponentu z wysyłką następnego dnia roboczego od uznania awarii</w:t>
            </w:r>
          </w:p>
          <w:p w14:paraId="3F322540" w14:textId="77777777" w:rsidR="000F3FBA" w:rsidRPr="00546923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dostęp do bazy wiedzy producenta</w:t>
            </w:r>
          </w:p>
          <w:p w14:paraId="01CBDD99" w14:textId="77777777" w:rsidR="000F3FBA" w:rsidRPr="00546923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dostęp do TAC producenta (otwieranie tzw. case’ów) – brak limitu otwierania zgłoszeń w przypadku podejrzenia możliwości błędu w oprogramowaniu/hardware</w:t>
            </w:r>
          </w:p>
          <w:p w14:paraId="0500E5CA" w14:textId="77777777" w:rsidR="000F3FBA" w:rsidRPr="000F3FBA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Uszkodzone dyski pozostają własnością Zamawiającego.</w:t>
            </w:r>
          </w:p>
        </w:tc>
        <w:tc>
          <w:tcPr>
            <w:tcW w:w="3367" w:type="dxa"/>
            <w:gridSpan w:val="2"/>
            <w:vAlign w:val="center"/>
          </w:tcPr>
          <w:p w14:paraId="0E7C3A80" w14:textId="77777777" w:rsidR="000F3FBA" w:rsidRPr="00546923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EDCE8E0" w14:textId="77777777" w:rsidR="000F3FBA" w:rsidRPr="00546923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ind w:left="467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0BDEC6A9" w14:textId="77777777" w:rsidR="000F3FBA" w:rsidRPr="00546923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ind w:left="467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7C780520" w14:textId="77777777" w:rsidR="000F3FBA" w:rsidRPr="00546923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ind w:left="467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36194509" w14:textId="2F6DBA16" w:rsidR="000F3FBA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1F88B8CF" w14:textId="77777777" w:rsidR="00BD4057" w:rsidRDefault="00BD4057" w:rsidP="00BD4057">
            <w:pPr>
              <w:pStyle w:val="Akapitzlist"/>
              <w:tabs>
                <w:tab w:val="left" w:pos="223"/>
              </w:tabs>
              <w:spacing w:before="3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2369A49F" w14:textId="027A40BE" w:rsidR="00BD4057" w:rsidRPr="009517DB" w:rsidRDefault="00BD4057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</w:tbl>
    <w:p w14:paraId="0F5317D4" w14:textId="4C066265" w:rsidR="003B5A1F" w:rsidRPr="006B7676" w:rsidRDefault="00EA7D2D" w:rsidP="003B5A1F">
      <w:pPr>
        <w:rPr>
          <w:b/>
        </w:rPr>
      </w:pPr>
      <w:r w:rsidRPr="006B7676">
        <w:rPr>
          <w:b/>
        </w:rPr>
        <w:t>*Niewłaściwe skreślić</w:t>
      </w:r>
      <w:r w:rsidR="006B7676">
        <w:rPr>
          <w:b/>
        </w:rPr>
        <w:t>. Należy zwrócić uwagę, aby wszystkie pola zostały uzupełnione.</w:t>
      </w:r>
    </w:p>
    <w:p w14:paraId="01C5EAB9" w14:textId="77777777" w:rsidR="00B509DF" w:rsidRDefault="00B509DF">
      <w:pPr>
        <w:autoSpaceDE/>
        <w:autoSpaceDN/>
        <w:spacing w:before="0" w:after="160" w:line="259" w:lineRule="auto"/>
        <w:jc w:val="left"/>
        <w:rPr>
          <w:rFonts w:cs="Calibri"/>
          <w:b/>
          <w:w w:val="100"/>
          <w:sz w:val="22"/>
          <w:szCs w:val="22"/>
        </w:rPr>
      </w:pPr>
      <w:r>
        <w:rPr>
          <w:rFonts w:cs="Calibri"/>
          <w:b/>
          <w:w w:val="100"/>
          <w:sz w:val="22"/>
          <w:szCs w:val="22"/>
        </w:rPr>
        <w:br w:type="page"/>
      </w:r>
    </w:p>
    <w:p w14:paraId="20CA725B" w14:textId="247168EA" w:rsidR="006B0483" w:rsidRPr="008E5BA2" w:rsidRDefault="00BD4057" w:rsidP="00BD4057">
      <w:pPr>
        <w:spacing w:before="120" w:after="120" w:line="300" w:lineRule="exact"/>
        <w:jc w:val="center"/>
        <w:rPr>
          <w:rFonts w:cs="Calibri"/>
          <w:b/>
          <w:w w:val="100"/>
          <w:sz w:val="32"/>
          <w:szCs w:val="22"/>
        </w:rPr>
      </w:pPr>
      <w:r w:rsidRPr="008E5BA2">
        <w:rPr>
          <w:rFonts w:cs="Calibri"/>
          <w:b/>
          <w:w w:val="100"/>
          <w:sz w:val="32"/>
          <w:szCs w:val="22"/>
        </w:rPr>
        <w:lastRenderedPageBreak/>
        <w:t xml:space="preserve">Część nr 2 - </w:t>
      </w:r>
      <w:r w:rsidR="006B0483" w:rsidRPr="008E5BA2">
        <w:rPr>
          <w:rFonts w:cs="Calibri"/>
          <w:b/>
          <w:w w:val="100"/>
          <w:sz w:val="32"/>
          <w:szCs w:val="22"/>
        </w:rPr>
        <w:t>Serwer (1 sztuka)</w:t>
      </w:r>
    </w:p>
    <w:p w14:paraId="2C2BA307" w14:textId="77777777" w:rsidR="00BD4057" w:rsidRDefault="00BD4057" w:rsidP="00BD4057">
      <w:pPr>
        <w:spacing w:before="120" w:after="120" w:line="300" w:lineRule="exact"/>
        <w:rPr>
          <w:rFonts w:cs="Calibri"/>
          <w:w w:val="100"/>
          <w:sz w:val="22"/>
          <w:szCs w:val="22"/>
        </w:rPr>
      </w:pPr>
      <w:r>
        <w:rPr>
          <w:rFonts w:cs="Calibri"/>
          <w:w w:val="100"/>
          <w:sz w:val="22"/>
          <w:szCs w:val="22"/>
        </w:rPr>
        <w:t xml:space="preserve">Nazwa producenta: ………………………………………………………. </w:t>
      </w:r>
      <w:r w:rsidRPr="00EA7D2D">
        <w:rPr>
          <w:rFonts w:cs="Calibri"/>
          <w:b/>
          <w:w w:val="100"/>
          <w:sz w:val="22"/>
          <w:szCs w:val="22"/>
        </w:rPr>
        <w:t>(należy uzupełnić)</w:t>
      </w:r>
    </w:p>
    <w:p w14:paraId="2119FB84" w14:textId="77777777" w:rsidR="00BD4057" w:rsidRDefault="00BD4057" w:rsidP="00BD4057">
      <w:pPr>
        <w:spacing w:before="120" w:after="120" w:line="300" w:lineRule="exact"/>
        <w:rPr>
          <w:rFonts w:cs="Calibri"/>
          <w:w w:val="100"/>
          <w:sz w:val="22"/>
          <w:szCs w:val="22"/>
        </w:rPr>
      </w:pPr>
      <w:r>
        <w:rPr>
          <w:rFonts w:cs="Calibri"/>
          <w:w w:val="100"/>
          <w:sz w:val="22"/>
          <w:szCs w:val="22"/>
        </w:rPr>
        <w:t xml:space="preserve">Oferowany model: ………………………………………………………… </w:t>
      </w:r>
      <w:r w:rsidRPr="00EA7D2D">
        <w:rPr>
          <w:rFonts w:cs="Calibri"/>
          <w:b/>
          <w:w w:val="100"/>
          <w:sz w:val="22"/>
          <w:szCs w:val="22"/>
        </w:rPr>
        <w:t>(należy uzupełnić)</w:t>
      </w:r>
    </w:p>
    <w:p w14:paraId="33E4EF40" w14:textId="77777777" w:rsidR="006B0483" w:rsidRDefault="006B0483" w:rsidP="006B0483"/>
    <w:tbl>
      <w:tblPr>
        <w:tblStyle w:val="Tabela-Siatka"/>
        <w:tblW w:w="14062" w:type="dxa"/>
        <w:tblLook w:val="04A0" w:firstRow="1" w:lastRow="0" w:firstColumn="1" w:lastColumn="0" w:noHBand="0" w:noVBand="1"/>
      </w:tblPr>
      <w:tblGrid>
        <w:gridCol w:w="846"/>
        <w:gridCol w:w="2393"/>
        <w:gridCol w:w="7746"/>
        <w:gridCol w:w="3059"/>
        <w:gridCol w:w="18"/>
      </w:tblGrid>
      <w:tr w:rsidR="006B0483" w14:paraId="26CC47C7" w14:textId="77777777" w:rsidTr="00E43E5A">
        <w:trPr>
          <w:trHeight w:val="1920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14:paraId="70BB4A15" w14:textId="77777777" w:rsidR="006B0483" w:rsidRPr="00AB7691" w:rsidRDefault="006B0483" w:rsidP="00F44A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Lp.</w:t>
            </w:r>
          </w:p>
        </w:tc>
        <w:tc>
          <w:tcPr>
            <w:tcW w:w="2393" w:type="dxa"/>
            <w:shd w:val="clear" w:color="auto" w:fill="C5E0B3" w:themeFill="accent6" w:themeFillTint="66"/>
            <w:vAlign w:val="center"/>
          </w:tcPr>
          <w:p w14:paraId="5C15EDAE" w14:textId="77777777" w:rsidR="006B0483" w:rsidRPr="00AB7691" w:rsidRDefault="006B0483" w:rsidP="00F44A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Nazwa  komponentu, inne wymagania</w:t>
            </w:r>
          </w:p>
        </w:tc>
        <w:tc>
          <w:tcPr>
            <w:tcW w:w="7746" w:type="dxa"/>
            <w:shd w:val="clear" w:color="auto" w:fill="C5E0B3" w:themeFill="accent6" w:themeFillTint="66"/>
            <w:vAlign w:val="center"/>
          </w:tcPr>
          <w:p w14:paraId="1837D715" w14:textId="77777777" w:rsidR="00AB7691" w:rsidRPr="00AB7691" w:rsidRDefault="00AB7691" w:rsidP="00AB769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Opis wymagań</w:t>
            </w:r>
          </w:p>
          <w:p w14:paraId="504C1556" w14:textId="3142FDFF" w:rsidR="006B0483" w:rsidRPr="00AB7691" w:rsidRDefault="00AB7691" w:rsidP="00AB769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(minimalnych i dodatkowych ocenianych w ramach kryteriów oceny ofert)</w:t>
            </w:r>
          </w:p>
        </w:tc>
        <w:tc>
          <w:tcPr>
            <w:tcW w:w="3077" w:type="dxa"/>
            <w:gridSpan w:val="2"/>
            <w:shd w:val="clear" w:color="auto" w:fill="C5E0B3" w:themeFill="accent6" w:themeFillTint="66"/>
            <w:vAlign w:val="center"/>
          </w:tcPr>
          <w:p w14:paraId="11DB5804" w14:textId="77777777" w:rsidR="006B0483" w:rsidRPr="00AB7691" w:rsidRDefault="006B0483" w:rsidP="00F44A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Parametry techniczne oferowanego produktu</w:t>
            </w:r>
          </w:p>
        </w:tc>
      </w:tr>
      <w:tr w:rsidR="006B0483" w14:paraId="0A2F25CF" w14:textId="77777777" w:rsidTr="00E43E5A">
        <w:trPr>
          <w:trHeight w:val="2556"/>
        </w:trPr>
        <w:tc>
          <w:tcPr>
            <w:tcW w:w="846" w:type="dxa"/>
            <w:vAlign w:val="center"/>
          </w:tcPr>
          <w:p w14:paraId="05EA6B39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0D201997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Obudowa</w:t>
            </w:r>
          </w:p>
        </w:tc>
        <w:tc>
          <w:tcPr>
            <w:tcW w:w="7746" w:type="dxa"/>
            <w:vAlign w:val="center"/>
          </w:tcPr>
          <w:p w14:paraId="23826BF5" w14:textId="77777777" w:rsidR="006B0483" w:rsidRPr="007C2A2F" w:rsidRDefault="006B0483" w:rsidP="006B0483">
            <w:pPr>
              <w:pStyle w:val="Akapitzlist"/>
              <w:numPr>
                <w:ilvl w:val="0"/>
                <w:numId w:val="25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Obudowa ze wszystkimi komponentami umożliwiająca montaż w standardowej szafie typu rack</w:t>
            </w:r>
          </w:p>
          <w:p w14:paraId="5D744F06" w14:textId="77777777" w:rsidR="006B0483" w:rsidRPr="007C2A2F" w:rsidRDefault="006B0483" w:rsidP="006B0483">
            <w:pPr>
              <w:pStyle w:val="Akapitzlist"/>
              <w:numPr>
                <w:ilvl w:val="0"/>
                <w:numId w:val="25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Wysokość maksymalnie 2U</w:t>
            </w:r>
          </w:p>
          <w:p w14:paraId="52087BC9" w14:textId="77777777" w:rsidR="006B0483" w:rsidRPr="007C2A2F" w:rsidRDefault="006B0483" w:rsidP="006B0483">
            <w:pPr>
              <w:pStyle w:val="Akapitzlist"/>
              <w:numPr>
                <w:ilvl w:val="0"/>
                <w:numId w:val="25"/>
              </w:numPr>
              <w:ind w:right="363"/>
              <w:rPr>
                <w:b/>
                <w:sz w:val="28"/>
                <w:szCs w:val="28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Dostarczona wraz z szynami umożliwiającymi pełne wysunięcie serwera z szafy rack</w:t>
            </w:r>
          </w:p>
        </w:tc>
        <w:tc>
          <w:tcPr>
            <w:tcW w:w="3077" w:type="dxa"/>
            <w:gridSpan w:val="2"/>
            <w:vAlign w:val="center"/>
          </w:tcPr>
          <w:p w14:paraId="2A81A95C" w14:textId="77777777" w:rsidR="006B0483" w:rsidRDefault="006B0483" w:rsidP="006B0483">
            <w:pPr>
              <w:pStyle w:val="Akapitzlist"/>
              <w:numPr>
                <w:ilvl w:val="0"/>
                <w:numId w:val="26"/>
              </w:numPr>
              <w:tabs>
                <w:tab w:val="left" w:pos="223"/>
              </w:tabs>
              <w:spacing w:before="360" w:line="240" w:lineRule="auto"/>
              <w:ind w:left="417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7C2A2F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4B4AF202" w14:textId="77777777" w:rsidR="006B0483" w:rsidRPr="007C2A2F" w:rsidRDefault="006B0483" w:rsidP="006B0483">
            <w:pPr>
              <w:pStyle w:val="Akapitzlist"/>
              <w:numPr>
                <w:ilvl w:val="0"/>
                <w:numId w:val="26"/>
              </w:numPr>
              <w:tabs>
                <w:tab w:val="left" w:pos="223"/>
              </w:tabs>
              <w:spacing w:before="360" w:line="240" w:lineRule="auto"/>
              <w:ind w:left="417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7C2A2F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5330A6D" w14:textId="77777777" w:rsidR="006B0483" w:rsidRPr="007C2A2F" w:rsidRDefault="006B0483" w:rsidP="006B0483">
            <w:pPr>
              <w:pStyle w:val="Akapitzlist"/>
              <w:numPr>
                <w:ilvl w:val="0"/>
                <w:numId w:val="26"/>
              </w:numPr>
              <w:tabs>
                <w:tab w:val="left" w:pos="223"/>
              </w:tabs>
              <w:spacing w:before="360" w:line="240" w:lineRule="auto"/>
              <w:ind w:left="417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7C2A2F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223A6F3" w14:textId="77777777" w:rsidR="006B0483" w:rsidRPr="007C2A2F" w:rsidRDefault="006B0483" w:rsidP="00F44A1A">
            <w:pPr>
              <w:pStyle w:val="Akapitzlist"/>
              <w:tabs>
                <w:tab w:val="left" w:pos="223"/>
              </w:tabs>
              <w:spacing w:before="0" w:line="240" w:lineRule="auto"/>
              <w:ind w:left="57" w:right="57"/>
              <w:rPr>
                <w:rFonts w:ascii="Verdana" w:hAnsi="Verdana"/>
                <w:w w:val="100"/>
                <w:sz w:val="22"/>
                <w:szCs w:val="22"/>
              </w:rPr>
            </w:pPr>
          </w:p>
          <w:p w14:paraId="0CC8B0B1" w14:textId="77777777" w:rsidR="006B0483" w:rsidRPr="003B5A1F" w:rsidRDefault="006B0483" w:rsidP="00F44A1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</w:tr>
      <w:tr w:rsidR="006B0483" w14:paraId="486E1900" w14:textId="77777777" w:rsidTr="00E43E5A">
        <w:trPr>
          <w:gridAfter w:val="1"/>
          <w:wAfter w:w="18" w:type="dxa"/>
          <w:trHeight w:val="1304"/>
        </w:trPr>
        <w:tc>
          <w:tcPr>
            <w:tcW w:w="846" w:type="dxa"/>
            <w:vAlign w:val="center"/>
          </w:tcPr>
          <w:p w14:paraId="4DCA2FD2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609958EA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Płyta główna</w:t>
            </w:r>
          </w:p>
        </w:tc>
        <w:tc>
          <w:tcPr>
            <w:tcW w:w="7746" w:type="dxa"/>
            <w:vAlign w:val="center"/>
          </w:tcPr>
          <w:p w14:paraId="75F4E9BD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Dwuprocesorowa, z możliwością instalacji procesorów min. 28-rdzeniowych</w:t>
            </w:r>
          </w:p>
          <w:p w14:paraId="4FB7E49B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Płyta musi obsługiwać SR-IOV oraz VT-D i sprzętową wirtualizację</w:t>
            </w:r>
          </w:p>
          <w:p w14:paraId="5CC9EC58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Możliwość rozbudowy o minimum 5 kart PCI Express  typu Full-Profile. Serwer musi mieć w tyle wolnych slotów PCI-E spełniając inne wymagania OPZ – w szczególności pkt. 6.</w:t>
            </w:r>
          </w:p>
          <w:p w14:paraId="497CC43C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 xml:space="preserve">Możliwość instalacji w specjalnym slocie – tzw. ILOM dodatkowej karty Ethernet posiadającej 2 porty działające z </w:t>
            </w:r>
            <w:r w:rsidRPr="00BC1598">
              <w:rPr>
                <w:rFonts w:ascii="Verdana" w:hAnsi="Verdana"/>
                <w:sz w:val="24"/>
                <w:szCs w:val="24"/>
              </w:rPr>
              <w:lastRenderedPageBreak/>
              <w:t>prędkością minimum 10Gb/s na wkładki światłowodowe (np. SFP+ lub SFP28).</w:t>
            </w:r>
          </w:p>
          <w:p w14:paraId="52810A96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Wewnętrzna redundantna (RAID1, Mirror) pamięć oparta o dyski twarde SSD M.2 przeznaczona dla wirtualizatora (niezależne od dysków twardych SFF/LFF). Pamięć ta musi być zgodna (poziom sterowników i HCL) z oprogramowaniem VMware vSphere 6.x.</w:t>
            </w:r>
          </w:p>
        </w:tc>
        <w:tc>
          <w:tcPr>
            <w:tcW w:w="3059" w:type="dxa"/>
            <w:vAlign w:val="center"/>
          </w:tcPr>
          <w:p w14:paraId="3B7FFFB3" w14:textId="77777777" w:rsidR="006B0483" w:rsidRPr="00BC1598" w:rsidRDefault="006B0483" w:rsidP="006B0483">
            <w:pPr>
              <w:pStyle w:val="Akapitzlist"/>
              <w:numPr>
                <w:ilvl w:val="0"/>
                <w:numId w:val="28"/>
              </w:numPr>
              <w:spacing w:before="480" w:line="300" w:lineRule="exact"/>
              <w:ind w:left="417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BC1598">
              <w:rPr>
                <w:rFonts w:ascii="Verdana" w:hAnsi="Verdana"/>
                <w:w w:val="100"/>
                <w:sz w:val="22"/>
                <w:szCs w:val="22"/>
              </w:rPr>
              <w:lastRenderedPageBreak/>
              <w:t>spełnia/nie spełnia *</w:t>
            </w:r>
          </w:p>
          <w:p w14:paraId="38813C63" w14:textId="77777777" w:rsidR="006B0483" w:rsidRPr="00BC1598" w:rsidRDefault="006B0483" w:rsidP="006B0483">
            <w:pPr>
              <w:pStyle w:val="Akapitzlist"/>
              <w:numPr>
                <w:ilvl w:val="0"/>
                <w:numId w:val="28"/>
              </w:numPr>
              <w:spacing w:before="480"/>
              <w:ind w:left="417" w:right="57"/>
              <w:jc w:val="center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BC1598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spełnia/nie spełnia *</w:t>
            </w:r>
          </w:p>
          <w:p w14:paraId="50F66AF2" w14:textId="77777777" w:rsidR="006B0483" w:rsidRPr="00BC1598" w:rsidRDefault="006B0483" w:rsidP="006B0483">
            <w:pPr>
              <w:pStyle w:val="Akapitzlist"/>
              <w:numPr>
                <w:ilvl w:val="0"/>
                <w:numId w:val="28"/>
              </w:numPr>
              <w:spacing w:before="480"/>
              <w:ind w:left="417" w:right="57"/>
              <w:jc w:val="center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BC1598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spełnia/nie spełnia *</w:t>
            </w:r>
          </w:p>
          <w:p w14:paraId="18719C9C" w14:textId="77777777" w:rsidR="006B0483" w:rsidRPr="00BC1598" w:rsidRDefault="006B0483" w:rsidP="006B0483">
            <w:pPr>
              <w:pStyle w:val="Akapitzlist"/>
              <w:numPr>
                <w:ilvl w:val="0"/>
                <w:numId w:val="28"/>
              </w:numPr>
              <w:spacing w:before="480"/>
              <w:ind w:left="417" w:right="57"/>
              <w:jc w:val="center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BC1598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spełnia/nie spełnia *</w:t>
            </w:r>
          </w:p>
          <w:p w14:paraId="5991C637" w14:textId="77777777" w:rsidR="006B0483" w:rsidRPr="001F3473" w:rsidRDefault="006B0483" w:rsidP="006B0483">
            <w:pPr>
              <w:pStyle w:val="Akapitzlist"/>
              <w:numPr>
                <w:ilvl w:val="0"/>
                <w:numId w:val="28"/>
              </w:numPr>
              <w:spacing w:before="600"/>
              <w:ind w:left="417" w:right="57"/>
              <w:rPr>
                <w:b/>
                <w:sz w:val="28"/>
                <w:szCs w:val="28"/>
              </w:rPr>
            </w:pPr>
            <w:r w:rsidRPr="001F3473">
              <w:rPr>
                <w:rFonts w:ascii="Verdana" w:hAnsi="Verdana"/>
                <w:color w:val="000000"/>
                <w:w w:val="100"/>
                <w:sz w:val="22"/>
                <w:szCs w:val="22"/>
              </w:rPr>
              <w:lastRenderedPageBreak/>
              <w:t>spełnia/nie spełnia *</w:t>
            </w:r>
          </w:p>
        </w:tc>
      </w:tr>
      <w:tr w:rsidR="006B0483" w14:paraId="647C7877" w14:textId="77777777" w:rsidTr="00E43E5A">
        <w:trPr>
          <w:trHeight w:val="1545"/>
        </w:trPr>
        <w:tc>
          <w:tcPr>
            <w:tcW w:w="846" w:type="dxa"/>
            <w:vAlign w:val="center"/>
          </w:tcPr>
          <w:p w14:paraId="42C1F9DB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269B0CC5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Procesory</w:t>
            </w:r>
          </w:p>
        </w:tc>
        <w:tc>
          <w:tcPr>
            <w:tcW w:w="7746" w:type="dxa"/>
            <w:vAlign w:val="center"/>
          </w:tcPr>
          <w:p w14:paraId="25459C9D" w14:textId="77777777" w:rsidR="006B0483" w:rsidRPr="00EA460D" w:rsidRDefault="006B0483" w:rsidP="006B0483">
            <w:pPr>
              <w:pStyle w:val="Akapitzlist"/>
              <w:numPr>
                <w:ilvl w:val="0"/>
                <w:numId w:val="2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 xml:space="preserve">Zainstalowane dwa procesory w architekturze x86 osiągające w oferowanym serwerze w testach wydajności SPECint_rate2006 min. 2050 pkt (dla dwóch CPU), min </w:t>
            </w:r>
            <w:r>
              <w:rPr>
                <w:rFonts w:ascii="Verdana" w:hAnsi="Verdana"/>
                <w:sz w:val="24"/>
                <w:szCs w:val="24"/>
              </w:rPr>
              <w:t>22</w:t>
            </w:r>
            <w:r w:rsidRPr="00BC1598">
              <w:rPr>
                <w:rFonts w:ascii="Verdana" w:hAnsi="Verdana"/>
                <w:sz w:val="24"/>
                <w:szCs w:val="24"/>
              </w:rPr>
              <w:t xml:space="preserve"> pkt (każdy wątek dla konfiguracji dwuprocesorowej przy wyłączonym HyperThreading). Każdy procesor musi posiadać minimum 30MB pamięci SmartCache oraz wspierać pamięci typu DDR4 2666MHz. Dodatkowo pojedynczy rdzeń procesora w trybie Turbo musi pracować z prędkością co najmniej 3.70 GHz. Pojedynczy procesor nie może posiadać poboru prądu - parametr TDP (Thermal Design Power) większego niż 142W.</w:t>
            </w:r>
          </w:p>
        </w:tc>
        <w:tc>
          <w:tcPr>
            <w:tcW w:w="3077" w:type="dxa"/>
            <w:gridSpan w:val="2"/>
            <w:vAlign w:val="center"/>
          </w:tcPr>
          <w:p w14:paraId="7A95EB9A" w14:textId="77777777" w:rsidR="006B0483" w:rsidRPr="00BC1598" w:rsidRDefault="006B0483" w:rsidP="006B0483">
            <w:pPr>
              <w:pStyle w:val="Akapitzlist"/>
              <w:numPr>
                <w:ilvl w:val="0"/>
                <w:numId w:val="30"/>
              </w:numPr>
              <w:spacing w:before="0"/>
              <w:ind w:left="417" w:right="57"/>
              <w:jc w:val="center"/>
              <w:rPr>
                <w:b/>
                <w:sz w:val="28"/>
                <w:szCs w:val="28"/>
              </w:rPr>
            </w:pPr>
            <w:r w:rsidRPr="00BC1598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A010CF" w14:paraId="6480DFCF" w14:textId="77777777" w:rsidTr="000F3FBA">
        <w:trPr>
          <w:trHeight w:val="2370"/>
        </w:trPr>
        <w:tc>
          <w:tcPr>
            <w:tcW w:w="846" w:type="dxa"/>
            <w:vMerge w:val="restart"/>
            <w:vAlign w:val="center"/>
          </w:tcPr>
          <w:p w14:paraId="16266172" w14:textId="77777777" w:rsidR="00A010CF" w:rsidRPr="003B5A1F" w:rsidRDefault="00A010CF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597521B0" w14:textId="77777777" w:rsidR="00A010CF" w:rsidRPr="007C2A2F" w:rsidRDefault="00A010CF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RAM</w:t>
            </w:r>
          </w:p>
        </w:tc>
        <w:tc>
          <w:tcPr>
            <w:tcW w:w="7746" w:type="dxa"/>
            <w:vMerge w:val="restart"/>
            <w:vAlign w:val="center"/>
          </w:tcPr>
          <w:p w14:paraId="7D9A3D84" w14:textId="77777777" w:rsidR="00A010CF" w:rsidRPr="000F3FBA" w:rsidRDefault="00A010CF" w:rsidP="000F3FBA">
            <w:pPr>
              <w:pStyle w:val="Akapitzlist"/>
              <w:numPr>
                <w:ilvl w:val="0"/>
                <w:numId w:val="31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Zainstalowane min. 256 GB pamięci RAM typu D</w:t>
            </w:r>
            <w:r>
              <w:rPr>
                <w:rFonts w:ascii="Verdana" w:hAnsi="Verdana"/>
                <w:sz w:val="24"/>
                <w:szCs w:val="24"/>
              </w:rPr>
              <w:t xml:space="preserve">DR4 – taktowanie minimum 2666MHz </w:t>
            </w:r>
          </w:p>
          <w:p w14:paraId="2136F654" w14:textId="77777777" w:rsidR="00A010CF" w:rsidRPr="00BC1598" w:rsidRDefault="00A010CF" w:rsidP="00A010CF">
            <w:pPr>
              <w:pStyle w:val="Akapitzlist"/>
              <w:numPr>
                <w:ilvl w:val="0"/>
                <w:numId w:val="31"/>
              </w:numPr>
              <w:ind w:left="763" w:right="363" w:hanging="425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Serwer musi posiadać łącznie minimum 24 sloty DIMM oraz obsługiwać minimum 2TB pamięci DDR4.</w:t>
            </w:r>
          </w:p>
          <w:p w14:paraId="5494B447" w14:textId="77777777" w:rsidR="00A010CF" w:rsidRPr="00BC1598" w:rsidRDefault="00A010CF" w:rsidP="00A010CF">
            <w:pPr>
              <w:pStyle w:val="Akapitzlist"/>
              <w:numPr>
                <w:ilvl w:val="0"/>
                <w:numId w:val="31"/>
              </w:numPr>
              <w:ind w:left="763" w:right="363" w:hanging="425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lastRenderedPageBreak/>
              <w:t>Serwer w dostarczanej konfiguracji musi posiadać minimum 16 wolnych slotów DIMM dla dalszej rozbudowy pamięci RAM</w:t>
            </w:r>
          </w:p>
          <w:p w14:paraId="67D4F7BC" w14:textId="77777777" w:rsidR="00A010CF" w:rsidRDefault="00A010CF" w:rsidP="00A010CF">
            <w:pPr>
              <w:pStyle w:val="Akapitzlist"/>
              <w:numPr>
                <w:ilvl w:val="0"/>
                <w:numId w:val="31"/>
              </w:numPr>
              <w:ind w:left="763" w:hanging="425"/>
              <w:jc w:val="left"/>
              <w:rPr>
                <w:rFonts w:ascii="Verdana" w:hAnsi="Verdana"/>
                <w:sz w:val="24"/>
                <w:szCs w:val="24"/>
              </w:rPr>
            </w:pPr>
            <w:r w:rsidRPr="000F3FBA">
              <w:rPr>
                <w:rFonts w:ascii="Verdana" w:hAnsi="Verdana"/>
                <w:sz w:val="24"/>
                <w:szCs w:val="24"/>
              </w:rPr>
              <w:t>Wsparcie dla technologii zabezpieczania pamięci Advanced ECC</w:t>
            </w:r>
          </w:p>
          <w:p w14:paraId="57F43588" w14:textId="77777777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FUNKCJONALNOŚĆ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DODATKOWA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4EB67859" w14:textId="7FBB9D9D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0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1B9054D1" w14:textId="470F1EE9" w:rsidR="00A010CF" w:rsidRPr="000F3FBA" w:rsidRDefault="00A010CF" w:rsidP="000B5164">
            <w:pPr>
              <w:pStyle w:val="Akapitzlist"/>
              <w:numPr>
                <w:ilvl w:val="0"/>
                <w:numId w:val="31"/>
              </w:numPr>
              <w:ind w:left="763" w:hanging="425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Dodatkowe min. 512GB RAM </w:t>
            </w:r>
            <w:r w:rsidR="006B7676" w:rsidRPr="006B7676">
              <w:rPr>
                <w:rFonts w:ascii="Verdana" w:hAnsi="Verdana"/>
                <w:sz w:val="24"/>
                <w:szCs w:val="24"/>
              </w:rPr>
              <w:t>typu DDR4</w:t>
            </w:r>
            <w:r w:rsidR="000B5164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5164" w:rsidRPr="000B5164">
              <w:rPr>
                <w:rFonts w:ascii="Verdana" w:hAnsi="Verdana"/>
                <w:sz w:val="24"/>
                <w:szCs w:val="24"/>
              </w:rPr>
              <w:t xml:space="preserve">z </w:t>
            </w:r>
            <w:r w:rsidR="000B5164">
              <w:rPr>
                <w:rFonts w:ascii="Verdana" w:hAnsi="Verdana"/>
                <w:sz w:val="24"/>
                <w:szCs w:val="24"/>
              </w:rPr>
              <w:t>tożsamym</w:t>
            </w:r>
            <w:r w:rsidR="000B5164" w:rsidRPr="000B5164">
              <w:rPr>
                <w:rFonts w:ascii="Verdana" w:hAnsi="Verdana"/>
                <w:sz w:val="24"/>
                <w:szCs w:val="24"/>
              </w:rPr>
              <w:t xml:space="preserve"> taktowaniem, </w:t>
            </w:r>
            <w:r w:rsidR="000B5164">
              <w:rPr>
                <w:rFonts w:ascii="Verdana" w:hAnsi="Verdana"/>
                <w:sz w:val="24"/>
                <w:szCs w:val="24"/>
              </w:rPr>
              <w:t>co pamięć zainstalowana na potrzeby spełnienia wymogów minimalnych wskazanych w punkcie a</w:t>
            </w:r>
          </w:p>
        </w:tc>
        <w:tc>
          <w:tcPr>
            <w:tcW w:w="3077" w:type="dxa"/>
            <w:gridSpan w:val="2"/>
            <w:vAlign w:val="center"/>
          </w:tcPr>
          <w:p w14:paraId="4AC2254E" w14:textId="77777777" w:rsidR="00A010CF" w:rsidRDefault="00A010CF" w:rsidP="00BD4057">
            <w:pPr>
              <w:pStyle w:val="Akapitzlist"/>
              <w:numPr>
                <w:ilvl w:val="0"/>
                <w:numId w:val="57"/>
              </w:numPr>
              <w:spacing w:before="360"/>
              <w:ind w:left="382" w:right="57" w:hanging="283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lastRenderedPageBreak/>
              <w:t>spełnia/nie spełnia *</w:t>
            </w:r>
          </w:p>
          <w:p w14:paraId="0B129F95" w14:textId="4DEC96B2" w:rsidR="00936183" w:rsidRPr="00936183" w:rsidRDefault="00936183" w:rsidP="00936183">
            <w:pPr>
              <w:pStyle w:val="Akapitzlist"/>
              <w:numPr>
                <w:ilvl w:val="0"/>
                <w:numId w:val="57"/>
              </w:numPr>
              <w:spacing w:before="360"/>
              <w:ind w:left="382" w:right="57" w:hanging="283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A010CF" w14:paraId="54BFABD7" w14:textId="77777777" w:rsidTr="00E43E5A">
        <w:trPr>
          <w:trHeight w:val="2369"/>
        </w:trPr>
        <w:tc>
          <w:tcPr>
            <w:tcW w:w="846" w:type="dxa"/>
            <w:vMerge/>
            <w:vAlign w:val="center"/>
          </w:tcPr>
          <w:p w14:paraId="3F16E962" w14:textId="77777777" w:rsidR="00A010CF" w:rsidRPr="003B5A1F" w:rsidRDefault="00A010CF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6D041EA1" w14:textId="77777777" w:rsidR="00A010CF" w:rsidRPr="007C2A2F" w:rsidRDefault="00A010CF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6" w:type="dxa"/>
            <w:vMerge/>
            <w:vAlign w:val="center"/>
          </w:tcPr>
          <w:p w14:paraId="5217F202" w14:textId="77777777" w:rsidR="00A010CF" w:rsidRPr="000F3FBA" w:rsidRDefault="00A010CF" w:rsidP="00A010CF">
            <w:pPr>
              <w:pStyle w:val="Akapitzlist"/>
              <w:numPr>
                <w:ilvl w:val="0"/>
                <w:numId w:val="57"/>
              </w:numPr>
              <w:jc w:val="left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vAlign w:val="center"/>
          </w:tcPr>
          <w:p w14:paraId="16CA30E6" w14:textId="77777777" w:rsidR="00A010CF" w:rsidRPr="001F3473" w:rsidRDefault="00A010CF" w:rsidP="00A010CF">
            <w:pPr>
              <w:pStyle w:val="Akapitzlist"/>
              <w:numPr>
                <w:ilvl w:val="0"/>
                <w:numId w:val="57"/>
              </w:numPr>
              <w:spacing w:before="360"/>
              <w:ind w:left="524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5C29722" w14:textId="611C525D" w:rsidR="00A010CF" w:rsidRDefault="00A010CF" w:rsidP="00A010CF">
            <w:pPr>
              <w:pStyle w:val="Akapitzlist"/>
              <w:numPr>
                <w:ilvl w:val="0"/>
                <w:numId w:val="57"/>
              </w:numPr>
              <w:spacing w:before="360"/>
              <w:ind w:left="524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690AFA6" w14:textId="085DF9A4" w:rsidR="00BD4057" w:rsidRDefault="00BD4057" w:rsidP="00BD4057">
            <w:pPr>
              <w:pStyle w:val="Akapitzlist"/>
              <w:spacing w:before="360"/>
              <w:ind w:left="524" w:right="57"/>
              <w:rPr>
                <w:rFonts w:ascii="Verdana" w:hAnsi="Verdana"/>
                <w:w w:val="100"/>
                <w:sz w:val="22"/>
                <w:szCs w:val="22"/>
              </w:rPr>
            </w:pPr>
          </w:p>
          <w:p w14:paraId="183ECD4A" w14:textId="77777777" w:rsidR="00936183" w:rsidRDefault="00936183" w:rsidP="00BD4057">
            <w:pPr>
              <w:pStyle w:val="Akapitzlist"/>
              <w:spacing w:before="360"/>
              <w:ind w:left="524" w:right="57"/>
              <w:rPr>
                <w:rFonts w:ascii="Verdana" w:hAnsi="Verdana"/>
                <w:w w:val="100"/>
                <w:sz w:val="22"/>
                <w:szCs w:val="22"/>
              </w:rPr>
            </w:pPr>
          </w:p>
          <w:p w14:paraId="752CDA4D" w14:textId="7C97A831" w:rsidR="00A010CF" w:rsidRPr="00A010CF" w:rsidRDefault="00A010CF" w:rsidP="00BD4057">
            <w:pPr>
              <w:pStyle w:val="Akapitzlist"/>
              <w:numPr>
                <w:ilvl w:val="0"/>
                <w:numId w:val="57"/>
              </w:numPr>
              <w:spacing w:before="360"/>
              <w:ind w:left="524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  <w:r>
              <w:rPr>
                <w:rFonts w:ascii="Verdana" w:hAnsi="Verdana"/>
                <w:w w:val="100"/>
                <w:sz w:val="22"/>
                <w:szCs w:val="22"/>
              </w:rPr>
              <w:t xml:space="preserve"> </w:t>
            </w:r>
          </w:p>
        </w:tc>
      </w:tr>
      <w:tr w:rsidR="006B0483" w14:paraId="53F7FF04" w14:textId="77777777" w:rsidTr="00E43E5A">
        <w:trPr>
          <w:trHeight w:val="3582"/>
        </w:trPr>
        <w:tc>
          <w:tcPr>
            <w:tcW w:w="846" w:type="dxa"/>
            <w:vAlign w:val="center"/>
          </w:tcPr>
          <w:p w14:paraId="58303849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4CEC38E9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HDD/SDD/RAID</w:t>
            </w:r>
          </w:p>
        </w:tc>
        <w:tc>
          <w:tcPr>
            <w:tcW w:w="7746" w:type="dxa"/>
            <w:vAlign w:val="center"/>
          </w:tcPr>
          <w:p w14:paraId="1D502E2B" w14:textId="77777777" w:rsidR="006B0483" w:rsidRPr="001F3473" w:rsidRDefault="006B0483" w:rsidP="006B0483">
            <w:pPr>
              <w:pStyle w:val="Akapitzlist"/>
              <w:numPr>
                <w:ilvl w:val="0"/>
                <w:numId w:val="33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Serwer musi umożliwiać instalację 24 dysków 2.5” HotSwap bez konieczności rozbudowy serwera – jedynie poprzez dodanie dysków twardych oraz karty RAID/Expander.</w:t>
            </w:r>
          </w:p>
          <w:p w14:paraId="2807F433" w14:textId="77777777" w:rsidR="006B0483" w:rsidRPr="00976C07" w:rsidRDefault="006B0483" w:rsidP="006B0483">
            <w:pPr>
              <w:pStyle w:val="Akapitzlist"/>
              <w:numPr>
                <w:ilvl w:val="0"/>
                <w:numId w:val="33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Możliwość rozbudowy o sprzętowy kontroler RAID (np. w jednym z wolnych slotów PCI) – z obsługa RAID 0/1/10/5/6 z pamięcią cache minimum 4GB z zabezpieczeniem klasy FBWC/BWBC. Karta musi być zgodna z kartą zarządzającą Out-of-Band (pkt.8).</w:t>
            </w:r>
          </w:p>
        </w:tc>
        <w:tc>
          <w:tcPr>
            <w:tcW w:w="3077" w:type="dxa"/>
            <w:gridSpan w:val="2"/>
            <w:vAlign w:val="center"/>
          </w:tcPr>
          <w:p w14:paraId="5430146E" w14:textId="77777777" w:rsidR="006B0483" w:rsidRPr="001F3473" w:rsidRDefault="006B0483" w:rsidP="006B0483">
            <w:pPr>
              <w:pStyle w:val="Akapitzlist"/>
              <w:numPr>
                <w:ilvl w:val="0"/>
                <w:numId w:val="34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538C99E0" w14:textId="77777777" w:rsidR="006B0483" w:rsidRPr="001F3473" w:rsidRDefault="006B0483" w:rsidP="006B0483">
            <w:pPr>
              <w:pStyle w:val="Akapitzlist"/>
              <w:numPr>
                <w:ilvl w:val="0"/>
                <w:numId w:val="34"/>
              </w:numPr>
              <w:spacing w:before="360"/>
              <w:ind w:left="417" w:right="57"/>
              <w:rPr>
                <w:b/>
                <w:sz w:val="28"/>
                <w:szCs w:val="28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6B0483" w14:paraId="164C1015" w14:textId="77777777" w:rsidTr="00E43E5A">
        <w:trPr>
          <w:trHeight w:val="2679"/>
        </w:trPr>
        <w:tc>
          <w:tcPr>
            <w:tcW w:w="846" w:type="dxa"/>
            <w:vAlign w:val="center"/>
          </w:tcPr>
          <w:p w14:paraId="6BFF11B8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3357B4CF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Ethernet/FC</w:t>
            </w:r>
          </w:p>
        </w:tc>
        <w:tc>
          <w:tcPr>
            <w:tcW w:w="7746" w:type="dxa"/>
            <w:vAlign w:val="center"/>
          </w:tcPr>
          <w:p w14:paraId="46C03181" w14:textId="77777777" w:rsidR="006B0483" w:rsidRPr="001F3473" w:rsidRDefault="006B0483" w:rsidP="006B0483">
            <w:pPr>
              <w:pStyle w:val="Akapitzlist"/>
              <w:numPr>
                <w:ilvl w:val="0"/>
                <w:numId w:val="35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4 porty Ethernet (porty SFP+ należy wyposażyć w wkładki typu SR/Multimode):</w:t>
            </w:r>
          </w:p>
          <w:p w14:paraId="56380691" w14:textId="77777777" w:rsidR="006B0483" w:rsidRPr="001F3473" w:rsidRDefault="006B0483" w:rsidP="006B0483">
            <w:pPr>
              <w:pStyle w:val="Akapitzlist"/>
              <w:numPr>
                <w:ilvl w:val="0"/>
                <w:numId w:val="36"/>
              </w:numPr>
              <w:ind w:left="1777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2 porty 10GE SFP+</w:t>
            </w:r>
          </w:p>
          <w:p w14:paraId="3E60C750" w14:textId="77777777" w:rsidR="006B0483" w:rsidRPr="001F3473" w:rsidRDefault="006B0483" w:rsidP="006B0483">
            <w:pPr>
              <w:pStyle w:val="Akapitzlist"/>
              <w:numPr>
                <w:ilvl w:val="0"/>
                <w:numId w:val="36"/>
              </w:numPr>
              <w:ind w:left="1777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2 porty 1GE lub 10GE SFP+</w:t>
            </w:r>
          </w:p>
          <w:p w14:paraId="21CB0B5A" w14:textId="77777777" w:rsidR="006B0483" w:rsidRPr="00976C07" w:rsidRDefault="006B0483" w:rsidP="006B0483">
            <w:pPr>
              <w:pStyle w:val="Akapitzlist"/>
              <w:numPr>
                <w:ilvl w:val="0"/>
                <w:numId w:val="35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2 porty FC 8Gbps lub 16Gbps z wkładkami SWL (Multimode)</w:t>
            </w:r>
          </w:p>
        </w:tc>
        <w:tc>
          <w:tcPr>
            <w:tcW w:w="3077" w:type="dxa"/>
            <w:gridSpan w:val="2"/>
            <w:vAlign w:val="center"/>
          </w:tcPr>
          <w:p w14:paraId="057F3385" w14:textId="77777777" w:rsidR="006B0483" w:rsidRPr="00946B41" w:rsidRDefault="006B0483" w:rsidP="006B0483">
            <w:pPr>
              <w:pStyle w:val="Akapitzlist"/>
              <w:numPr>
                <w:ilvl w:val="0"/>
                <w:numId w:val="37"/>
              </w:numPr>
              <w:spacing w:before="600"/>
              <w:ind w:left="417" w:right="57"/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7BE83527" w14:textId="77777777" w:rsidR="006B0483" w:rsidRDefault="006B0483" w:rsidP="006B0483">
            <w:pPr>
              <w:pStyle w:val="Akapitzlist"/>
              <w:numPr>
                <w:ilvl w:val="0"/>
                <w:numId w:val="37"/>
              </w:numPr>
              <w:spacing w:before="600"/>
              <w:ind w:left="417" w:right="57"/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6B0483" w14:paraId="4DC63C98" w14:textId="77777777" w:rsidTr="00E43E5A">
        <w:trPr>
          <w:trHeight w:val="1304"/>
        </w:trPr>
        <w:tc>
          <w:tcPr>
            <w:tcW w:w="846" w:type="dxa"/>
            <w:vAlign w:val="center"/>
          </w:tcPr>
          <w:p w14:paraId="7F11B34B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651830E4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Porty</w:t>
            </w:r>
          </w:p>
        </w:tc>
        <w:tc>
          <w:tcPr>
            <w:tcW w:w="7746" w:type="dxa"/>
            <w:vAlign w:val="center"/>
          </w:tcPr>
          <w:p w14:paraId="6C18835A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zintegrowana karta graficzna</w:t>
            </w:r>
          </w:p>
          <w:p w14:paraId="0373FC73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minimum 1 x USB 2.0 oraz 1 x USB 3.0 zewnętrzne z przodu obudowy</w:t>
            </w:r>
          </w:p>
          <w:p w14:paraId="13A878DC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minimum 2 x USB 3.0 zewnętrzne z tyłu obudowy</w:t>
            </w:r>
          </w:p>
          <w:p w14:paraId="4131426C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minimum 1 x VGA (DB15) zewnętrzne z przodu obudowy</w:t>
            </w:r>
          </w:p>
          <w:p w14:paraId="19CE1369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minimum 1 x VGA (DB15) zewnętrzne z tyłu obudowy</w:t>
            </w:r>
          </w:p>
          <w:p w14:paraId="11CB6562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Zamawiający nie dopuszcza aby zewnętrzne porty były rozszywane za pomocą specjalistycznych, niestandardowych kabli</w:t>
            </w:r>
          </w:p>
        </w:tc>
        <w:tc>
          <w:tcPr>
            <w:tcW w:w="3077" w:type="dxa"/>
            <w:gridSpan w:val="2"/>
            <w:vAlign w:val="center"/>
          </w:tcPr>
          <w:p w14:paraId="42FD29F5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053F6F2E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D98DCA6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C55BB33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FFB66C6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0AA28C34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8E96B4E" w14:textId="77777777" w:rsidR="006B0483" w:rsidRDefault="006B0483" w:rsidP="00F44A1A">
            <w:pPr>
              <w:ind w:right="283"/>
            </w:pPr>
          </w:p>
        </w:tc>
      </w:tr>
    </w:tbl>
    <w:p w14:paraId="490F61F8" w14:textId="77777777" w:rsidR="006B0483" w:rsidRDefault="006B0483" w:rsidP="006B048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"/>
        <w:gridCol w:w="2393"/>
        <w:gridCol w:w="7746"/>
        <w:gridCol w:w="3077"/>
      </w:tblGrid>
      <w:tr w:rsidR="006B0483" w14:paraId="11A956BE" w14:textId="77777777" w:rsidTr="00F44A1A">
        <w:trPr>
          <w:trHeight w:val="1304"/>
        </w:trPr>
        <w:tc>
          <w:tcPr>
            <w:tcW w:w="778" w:type="dxa"/>
            <w:vAlign w:val="center"/>
          </w:tcPr>
          <w:p w14:paraId="6E2E3D42" w14:textId="77777777" w:rsidR="006B0483" w:rsidRPr="00946B41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7EF108D4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Zarządzanie out-of-band</w:t>
            </w:r>
          </w:p>
        </w:tc>
        <w:tc>
          <w:tcPr>
            <w:tcW w:w="7746" w:type="dxa"/>
            <w:vAlign w:val="center"/>
          </w:tcPr>
          <w:p w14:paraId="7FECB6F4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Zintegrowany z płytą główną serwera kontroler sprzętowy zdalnego zarządzania zgodny z IPMI 2.0 o następujących funkcjonalnościach:</w:t>
            </w:r>
          </w:p>
          <w:p w14:paraId="3733BE47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Niezależny od systemu operacyjnego, sprzętowy kontroler umożliwiający pełne zarządzanie, zdalny restart serwera</w:t>
            </w:r>
          </w:p>
          <w:p w14:paraId="57178B93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Dedykowana karta LAN 1 Gb/s  (dedykowane złącze RJ-45 z tyłu obudowy) do komunikacji wyłącznie z kontrolerem zdalnego zarządzania z możliwością przeniesienia tej komunikacji na inną kartę sieciową współdzieloną z systemem operacyjnym</w:t>
            </w:r>
          </w:p>
          <w:p w14:paraId="3D5261D1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Dostęp poprzez przeglądarkę Web – SSL oraz SSH.</w:t>
            </w:r>
          </w:p>
          <w:p w14:paraId="1C7F597B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Zarządzanie mocą i jej zużyciem oraz monitoring zużycia energii</w:t>
            </w:r>
          </w:p>
          <w:p w14:paraId="5C989342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Możliwość przejęcia konsoli tekstowej</w:t>
            </w:r>
          </w:p>
          <w:p w14:paraId="64562111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Przekierowanie konsoli graficznej na poziomie sprzętowym oraz możliwość montowania zdalnych napędów i ich obrazów na poziomie sprzętowym (cyfrowy KVM). Przekierowanie nie może wymagać JAVA.</w:t>
            </w:r>
          </w:p>
          <w:p w14:paraId="573F7E10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Karta zarządzająca musi wspierać monitoring karty RAID oraz dysków podłączonych karty do RAID.</w:t>
            </w:r>
          </w:p>
          <w:p w14:paraId="39D41370" w14:textId="77777777" w:rsidR="006B0483" w:rsidRPr="00976C07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Jeśli wymagane są licencje dla wyżej opisanych funkcjonalności – należy je dostarczyć wraz z serwerem</w:t>
            </w:r>
          </w:p>
        </w:tc>
        <w:tc>
          <w:tcPr>
            <w:tcW w:w="3077" w:type="dxa"/>
            <w:vAlign w:val="center"/>
          </w:tcPr>
          <w:p w14:paraId="17FA918C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02AE63E2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773A752B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8ADE8F0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2CE0265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43EDA46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 xml:space="preserve">spełnia/nie spełnia * </w:t>
            </w:r>
          </w:p>
          <w:p w14:paraId="4A487364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587F9380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314A7CFA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6B0483" w14:paraId="238233DB" w14:textId="77777777" w:rsidTr="00F44A1A">
        <w:trPr>
          <w:trHeight w:val="1304"/>
        </w:trPr>
        <w:tc>
          <w:tcPr>
            <w:tcW w:w="778" w:type="dxa"/>
            <w:vAlign w:val="center"/>
          </w:tcPr>
          <w:p w14:paraId="28717B49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24936534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Zasilanie</w:t>
            </w:r>
          </w:p>
        </w:tc>
        <w:tc>
          <w:tcPr>
            <w:tcW w:w="7746" w:type="dxa"/>
            <w:vAlign w:val="center"/>
          </w:tcPr>
          <w:p w14:paraId="459E52E2" w14:textId="77777777" w:rsidR="006B0483" w:rsidRPr="008F2A63" w:rsidRDefault="006B0483" w:rsidP="006B0483">
            <w:pPr>
              <w:pStyle w:val="Akapitzlist"/>
              <w:numPr>
                <w:ilvl w:val="0"/>
                <w:numId w:val="41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Zainstalowane dwa redundantne zasilacze hot-plug o mocy minimalnej 740W każdy, jednak nie większej niż 910W)</w:t>
            </w:r>
          </w:p>
        </w:tc>
        <w:tc>
          <w:tcPr>
            <w:tcW w:w="3077" w:type="dxa"/>
            <w:vAlign w:val="center"/>
          </w:tcPr>
          <w:p w14:paraId="65DE7D85" w14:textId="77777777" w:rsidR="006B0483" w:rsidRPr="008F2A63" w:rsidRDefault="006B0483" w:rsidP="006B0483">
            <w:pPr>
              <w:pStyle w:val="Akapitzlist"/>
              <w:numPr>
                <w:ilvl w:val="0"/>
                <w:numId w:val="45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6B0483" w14:paraId="188E3FAC" w14:textId="77777777" w:rsidTr="00F44A1A">
        <w:trPr>
          <w:trHeight w:val="1304"/>
        </w:trPr>
        <w:tc>
          <w:tcPr>
            <w:tcW w:w="778" w:type="dxa"/>
            <w:vAlign w:val="center"/>
          </w:tcPr>
          <w:p w14:paraId="550C188C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4C169158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Wspierane OS</w:t>
            </w:r>
          </w:p>
        </w:tc>
        <w:tc>
          <w:tcPr>
            <w:tcW w:w="7746" w:type="dxa"/>
            <w:vAlign w:val="center"/>
          </w:tcPr>
          <w:p w14:paraId="18D2B8AF" w14:textId="77777777" w:rsidR="006B0483" w:rsidRPr="008F2A63" w:rsidRDefault="006B0483" w:rsidP="006B0483">
            <w:pPr>
              <w:pStyle w:val="Akapitzlist"/>
              <w:numPr>
                <w:ilvl w:val="0"/>
                <w:numId w:val="42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VMWare ESXi 6.x – wymagana certyfikacja VMware. Zamawiający posiada odpowiednie licencje VMware – takowe nie muszą być dostarczane razem z serwerem</w:t>
            </w:r>
          </w:p>
        </w:tc>
        <w:tc>
          <w:tcPr>
            <w:tcW w:w="3077" w:type="dxa"/>
            <w:vAlign w:val="center"/>
          </w:tcPr>
          <w:p w14:paraId="6703D1A3" w14:textId="77777777" w:rsidR="006B0483" w:rsidRPr="008F2A63" w:rsidRDefault="006B0483" w:rsidP="006B0483">
            <w:pPr>
              <w:pStyle w:val="Akapitzlist"/>
              <w:numPr>
                <w:ilvl w:val="0"/>
                <w:numId w:val="46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0F3FBA" w14:paraId="43211F51" w14:textId="77777777" w:rsidTr="000F3FBA">
        <w:trPr>
          <w:trHeight w:val="1893"/>
        </w:trPr>
        <w:tc>
          <w:tcPr>
            <w:tcW w:w="778" w:type="dxa"/>
            <w:vMerge w:val="restart"/>
            <w:vAlign w:val="center"/>
          </w:tcPr>
          <w:p w14:paraId="242D5AB7" w14:textId="77777777" w:rsidR="000F3FBA" w:rsidRPr="003B5A1F" w:rsidRDefault="000F3FBA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7AFDDEEA" w14:textId="77777777" w:rsidR="000F3FBA" w:rsidRPr="007C2A2F" w:rsidRDefault="000F3FBA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Gwarancja</w:t>
            </w:r>
          </w:p>
        </w:tc>
        <w:tc>
          <w:tcPr>
            <w:tcW w:w="7746" w:type="dxa"/>
            <w:vAlign w:val="center"/>
          </w:tcPr>
          <w:p w14:paraId="746CFBAE" w14:textId="77777777" w:rsidR="006B7676" w:rsidRDefault="006B7676" w:rsidP="006B7676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GWARANCJA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DODATKOWO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14003920" w14:textId="5B9A890B" w:rsidR="006B7676" w:rsidRDefault="006B7676" w:rsidP="006B7676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381A19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0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3F80D666" w14:textId="679C3E4A" w:rsidR="000F3FBA" w:rsidRPr="000F3FBA" w:rsidRDefault="006B7676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Dodatkowe 24 miesiące </w:t>
            </w: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wsparcia producenta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powyżej wymaganego minimum</w:t>
            </w:r>
          </w:p>
        </w:tc>
        <w:tc>
          <w:tcPr>
            <w:tcW w:w="3077" w:type="dxa"/>
            <w:vAlign w:val="center"/>
          </w:tcPr>
          <w:p w14:paraId="2E799D52" w14:textId="77777777" w:rsidR="006B7676" w:rsidRDefault="006B7676" w:rsidP="006B7676">
            <w:pPr>
              <w:pStyle w:val="Akapitzlist"/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</w:p>
          <w:p w14:paraId="4CADD069" w14:textId="02FFE826" w:rsidR="00FC0123" w:rsidRPr="00FC0123" w:rsidRDefault="000F3FBA" w:rsidP="006B7676">
            <w:pPr>
              <w:pStyle w:val="Akapitzlist"/>
              <w:numPr>
                <w:ilvl w:val="0"/>
                <w:numId w:val="47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  <w:r>
              <w:rPr>
                <w:rFonts w:ascii="Verdana" w:hAnsi="Verdana"/>
                <w:w w:val="100"/>
                <w:sz w:val="22"/>
                <w:szCs w:val="22"/>
              </w:rPr>
              <w:t xml:space="preserve"> </w:t>
            </w:r>
          </w:p>
        </w:tc>
      </w:tr>
      <w:tr w:rsidR="000F3FBA" w14:paraId="709843D3" w14:textId="77777777" w:rsidTr="00F44A1A">
        <w:trPr>
          <w:trHeight w:val="2536"/>
        </w:trPr>
        <w:tc>
          <w:tcPr>
            <w:tcW w:w="778" w:type="dxa"/>
            <w:vMerge/>
            <w:vAlign w:val="center"/>
          </w:tcPr>
          <w:p w14:paraId="68BB31BA" w14:textId="77777777" w:rsidR="000F3FBA" w:rsidRPr="003B5A1F" w:rsidRDefault="000F3FBA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706F9B76" w14:textId="77777777" w:rsidR="000F3FBA" w:rsidRPr="007C2A2F" w:rsidRDefault="000F3FBA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78BEE86A" w14:textId="5D84C0F6" w:rsidR="006B7676" w:rsidRPr="006B7676" w:rsidRDefault="006B7676" w:rsidP="006B7676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12 miesięcy wsparcia producenta</w:t>
            </w:r>
          </w:p>
          <w:p w14:paraId="04ABF77B" w14:textId="700E8987" w:rsidR="000F3FBA" w:rsidRPr="008F2A63" w:rsidRDefault="000F3FBA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bezpłatne aktualizacje firmware</w:t>
            </w:r>
          </w:p>
          <w:p w14:paraId="5441D5AA" w14:textId="77777777" w:rsidR="000F3FBA" w:rsidRPr="008F2A63" w:rsidRDefault="000F3FBA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wymianę uszkodzonego komponentu z wysyłką następnego dnia roboczego od uznania awarii</w:t>
            </w:r>
          </w:p>
          <w:p w14:paraId="7CAECC7F" w14:textId="77777777" w:rsidR="000F3FBA" w:rsidRPr="008F2A63" w:rsidRDefault="000F3FBA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dostęp do bazy wiedzy producenta</w:t>
            </w:r>
          </w:p>
          <w:p w14:paraId="58E819FF" w14:textId="77777777" w:rsidR="000F3FBA" w:rsidRPr="000F3FBA" w:rsidRDefault="000F3FBA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0F3FBA">
              <w:rPr>
                <w:rFonts w:ascii="Verdana" w:hAnsi="Verdana"/>
                <w:sz w:val="24"/>
                <w:szCs w:val="24"/>
              </w:rPr>
              <w:t>dostęp do TAC producenta (otwieranie tzw. case’ów) – brak limitu otwierania zgłoszeń w przypadku podejrzenia możliwości błędu w oprogramowaniu/hardware</w:t>
            </w:r>
          </w:p>
        </w:tc>
        <w:tc>
          <w:tcPr>
            <w:tcW w:w="3077" w:type="dxa"/>
            <w:vAlign w:val="center"/>
          </w:tcPr>
          <w:p w14:paraId="5B3A4133" w14:textId="77777777" w:rsidR="000F3FBA" w:rsidRDefault="000F3FBA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4E41B24" w14:textId="77777777" w:rsidR="000F3FBA" w:rsidRDefault="000F3FBA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 w:hanging="425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DF21736" w14:textId="77777777" w:rsidR="000F3FBA" w:rsidRDefault="000F3FBA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 w:hanging="425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27D86133" w14:textId="77777777" w:rsidR="000F3FBA" w:rsidRDefault="000F3FBA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B713201" w14:textId="3315B2D3" w:rsidR="006B7676" w:rsidRPr="008F2A63" w:rsidRDefault="006B7676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</w:tbl>
    <w:p w14:paraId="1FFF9D5E" w14:textId="77777777" w:rsidR="00AB7691" w:rsidRPr="006B7676" w:rsidRDefault="00AB7691" w:rsidP="00AB7691">
      <w:pPr>
        <w:rPr>
          <w:b/>
        </w:rPr>
      </w:pPr>
      <w:r w:rsidRPr="006B7676">
        <w:rPr>
          <w:b/>
        </w:rPr>
        <w:t>*Niewłaściwe skreślić</w:t>
      </w:r>
      <w:r>
        <w:rPr>
          <w:b/>
        </w:rPr>
        <w:t>. Należy zwrócić uwagę, aby wszystkie pola zostały uzupełnione.</w:t>
      </w:r>
    </w:p>
    <w:p w14:paraId="67566A41" w14:textId="77777777" w:rsidR="006B0483" w:rsidRPr="00B74949" w:rsidRDefault="006B0483" w:rsidP="00EA7D2D">
      <w:pPr>
        <w:rPr>
          <w:rFonts w:ascii="Verdana" w:hAnsi="Verdana"/>
          <w:sz w:val="28"/>
          <w:szCs w:val="28"/>
        </w:rPr>
      </w:pPr>
    </w:p>
    <w:p w14:paraId="79371DB8" w14:textId="77777777" w:rsidR="006B0483" w:rsidRPr="003B5A1F" w:rsidRDefault="006B0483" w:rsidP="003B5A1F"/>
    <w:sectPr w:rsidR="006B0483" w:rsidRPr="003B5A1F" w:rsidSect="00546923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34D2" w14:textId="77777777" w:rsidR="008A70CD" w:rsidRDefault="008A70CD" w:rsidP="00F60F77">
      <w:pPr>
        <w:spacing w:before="0" w:line="240" w:lineRule="auto"/>
      </w:pPr>
      <w:r>
        <w:separator/>
      </w:r>
    </w:p>
  </w:endnote>
  <w:endnote w:type="continuationSeparator" w:id="0">
    <w:p w14:paraId="5B37E430" w14:textId="77777777" w:rsidR="008A70CD" w:rsidRDefault="008A70CD" w:rsidP="00F60F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552EF" w14:textId="77777777" w:rsidR="008A70CD" w:rsidRDefault="008A70CD" w:rsidP="00F60F77">
      <w:pPr>
        <w:spacing w:before="0" w:line="240" w:lineRule="auto"/>
      </w:pPr>
      <w:r>
        <w:separator/>
      </w:r>
    </w:p>
  </w:footnote>
  <w:footnote w:type="continuationSeparator" w:id="0">
    <w:p w14:paraId="4E5E95A7" w14:textId="77777777" w:rsidR="008A70CD" w:rsidRDefault="008A70CD" w:rsidP="00F60F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3B6"/>
    <w:multiLevelType w:val="hybridMultilevel"/>
    <w:tmpl w:val="1B0AC13A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66E6638"/>
    <w:multiLevelType w:val="hybridMultilevel"/>
    <w:tmpl w:val="B4FEF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C27"/>
    <w:multiLevelType w:val="hybridMultilevel"/>
    <w:tmpl w:val="1AE4FAB6"/>
    <w:lvl w:ilvl="0" w:tplc="5A723D42">
      <w:start w:val="1"/>
      <w:numFmt w:val="lowerLetter"/>
      <w:lvlText w:val="%1."/>
      <w:lvlJc w:val="left"/>
      <w:pPr>
        <w:ind w:left="927" w:hanging="360"/>
      </w:pPr>
      <w:rPr>
        <w:rFonts w:ascii="Verdana" w:hAnsi="Verdana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4192E"/>
    <w:multiLevelType w:val="hybridMultilevel"/>
    <w:tmpl w:val="4F3070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3197D"/>
    <w:multiLevelType w:val="hybridMultilevel"/>
    <w:tmpl w:val="39667EEA"/>
    <w:lvl w:ilvl="0" w:tplc="403EE1D4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1DD73C2"/>
    <w:multiLevelType w:val="hybridMultilevel"/>
    <w:tmpl w:val="A8648E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4560"/>
    <w:multiLevelType w:val="hybridMultilevel"/>
    <w:tmpl w:val="88E077AC"/>
    <w:lvl w:ilvl="0" w:tplc="C910ED48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9B26AC7"/>
    <w:multiLevelType w:val="hybridMultilevel"/>
    <w:tmpl w:val="5A282B44"/>
    <w:lvl w:ilvl="0" w:tplc="54C0AD58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4F64BE"/>
    <w:multiLevelType w:val="hybridMultilevel"/>
    <w:tmpl w:val="6BEC9A36"/>
    <w:lvl w:ilvl="0" w:tplc="04241BEC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FD323BB"/>
    <w:multiLevelType w:val="hybridMultilevel"/>
    <w:tmpl w:val="2DF8FB36"/>
    <w:lvl w:ilvl="0" w:tplc="50DA2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960D3"/>
    <w:multiLevelType w:val="hybridMultilevel"/>
    <w:tmpl w:val="C7E2B2FE"/>
    <w:lvl w:ilvl="0" w:tplc="65027BE2">
      <w:start w:val="1"/>
      <w:numFmt w:val="lowerLetter"/>
      <w:lvlText w:val="%1."/>
      <w:lvlJc w:val="left"/>
      <w:pPr>
        <w:ind w:left="777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7AE776A"/>
    <w:multiLevelType w:val="hybridMultilevel"/>
    <w:tmpl w:val="ADBA392A"/>
    <w:lvl w:ilvl="0" w:tplc="8A820B4C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7C99"/>
    <w:multiLevelType w:val="hybridMultilevel"/>
    <w:tmpl w:val="C654F9C2"/>
    <w:lvl w:ilvl="0" w:tplc="C910ED48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E4A1847"/>
    <w:multiLevelType w:val="hybridMultilevel"/>
    <w:tmpl w:val="36B08920"/>
    <w:lvl w:ilvl="0" w:tplc="C910ED48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FF163E5"/>
    <w:multiLevelType w:val="hybridMultilevel"/>
    <w:tmpl w:val="30E2B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0747"/>
    <w:multiLevelType w:val="hybridMultilevel"/>
    <w:tmpl w:val="2E4C6390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32C449EF"/>
    <w:multiLevelType w:val="hybridMultilevel"/>
    <w:tmpl w:val="55004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12371"/>
    <w:multiLevelType w:val="hybridMultilevel"/>
    <w:tmpl w:val="10FE47E6"/>
    <w:lvl w:ilvl="0" w:tplc="A5EE3D9C">
      <w:start w:val="1"/>
      <w:numFmt w:val="lowerLetter"/>
      <w:lvlText w:val="%1."/>
      <w:lvlJc w:val="left"/>
      <w:pPr>
        <w:ind w:left="777" w:hanging="360"/>
      </w:pPr>
      <w:rPr>
        <w:rFonts w:ascii="Verdana" w:hAnsi="Verdana"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45C785A"/>
    <w:multiLevelType w:val="hybridMultilevel"/>
    <w:tmpl w:val="169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54D9"/>
    <w:multiLevelType w:val="hybridMultilevel"/>
    <w:tmpl w:val="AA445CD8"/>
    <w:lvl w:ilvl="0" w:tplc="403EE1D4">
      <w:start w:val="1"/>
      <w:numFmt w:val="lowerLetter"/>
      <w:lvlText w:val="%1.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5B0F64"/>
    <w:multiLevelType w:val="hybridMultilevel"/>
    <w:tmpl w:val="2D10111E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364243F8"/>
    <w:multiLevelType w:val="hybridMultilevel"/>
    <w:tmpl w:val="6B5893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3C16"/>
    <w:multiLevelType w:val="hybridMultilevel"/>
    <w:tmpl w:val="BD5E3060"/>
    <w:lvl w:ilvl="0" w:tplc="4E686EB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381B1E50"/>
    <w:multiLevelType w:val="hybridMultilevel"/>
    <w:tmpl w:val="AE16EF5A"/>
    <w:lvl w:ilvl="0" w:tplc="586EF466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38E74506"/>
    <w:multiLevelType w:val="hybridMultilevel"/>
    <w:tmpl w:val="8488F226"/>
    <w:lvl w:ilvl="0" w:tplc="04150013">
      <w:start w:val="1"/>
      <w:numFmt w:val="upperRoman"/>
      <w:lvlText w:val="%1."/>
      <w:lvlJc w:val="righ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25" w15:restartNumberingAfterBreak="0">
    <w:nsid w:val="3B223E19"/>
    <w:multiLevelType w:val="hybridMultilevel"/>
    <w:tmpl w:val="EA9877AE"/>
    <w:lvl w:ilvl="0" w:tplc="FE989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900F4"/>
    <w:multiLevelType w:val="hybridMultilevel"/>
    <w:tmpl w:val="62BA0470"/>
    <w:lvl w:ilvl="0" w:tplc="B8F0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C45187"/>
    <w:multiLevelType w:val="hybridMultilevel"/>
    <w:tmpl w:val="DB246F30"/>
    <w:lvl w:ilvl="0" w:tplc="4E686EB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48507903"/>
    <w:multiLevelType w:val="hybridMultilevel"/>
    <w:tmpl w:val="55B46524"/>
    <w:lvl w:ilvl="0" w:tplc="65027BE2">
      <w:start w:val="1"/>
      <w:numFmt w:val="lowerLetter"/>
      <w:lvlText w:val="%1."/>
      <w:lvlJc w:val="left"/>
      <w:pPr>
        <w:ind w:left="1497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AD6677"/>
    <w:multiLevelType w:val="hybridMultilevel"/>
    <w:tmpl w:val="5A282B44"/>
    <w:lvl w:ilvl="0" w:tplc="54C0AD58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A2E0FD8"/>
    <w:multiLevelType w:val="hybridMultilevel"/>
    <w:tmpl w:val="394C7918"/>
    <w:lvl w:ilvl="0" w:tplc="0C0ED850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4A403123"/>
    <w:multiLevelType w:val="hybridMultilevel"/>
    <w:tmpl w:val="76CAA6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501E9"/>
    <w:multiLevelType w:val="hybridMultilevel"/>
    <w:tmpl w:val="E1B46A04"/>
    <w:lvl w:ilvl="0" w:tplc="6A00D9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BE675CB"/>
    <w:multiLevelType w:val="hybridMultilevel"/>
    <w:tmpl w:val="60FE7F7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C842F41"/>
    <w:multiLevelType w:val="hybridMultilevel"/>
    <w:tmpl w:val="D5662074"/>
    <w:lvl w:ilvl="0" w:tplc="8DD22E54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4C8C4D22"/>
    <w:multiLevelType w:val="hybridMultilevel"/>
    <w:tmpl w:val="4294B9FA"/>
    <w:lvl w:ilvl="0" w:tplc="4C4A1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560F77"/>
    <w:multiLevelType w:val="hybridMultilevel"/>
    <w:tmpl w:val="ED70A048"/>
    <w:lvl w:ilvl="0" w:tplc="403EE1D4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0323C"/>
    <w:multiLevelType w:val="hybridMultilevel"/>
    <w:tmpl w:val="33B4CEF0"/>
    <w:lvl w:ilvl="0" w:tplc="48788B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50905"/>
    <w:multiLevelType w:val="hybridMultilevel"/>
    <w:tmpl w:val="997E22A6"/>
    <w:lvl w:ilvl="0" w:tplc="8C92345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674EE1"/>
    <w:multiLevelType w:val="hybridMultilevel"/>
    <w:tmpl w:val="B4E4351A"/>
    <w:lvl w:ilvl="0" w:tplc="4E686EB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81E31"/>
    <w:multiLevelType w:val="hybridMultilevel"/>
    <w:tmpl w:val="55004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02D7"/>
    <w:multiLevelType w:val="hybridMultilevel"/>
    <w:tmpl w:val="21E24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53616"/>
    <w:multiLevelType w:val="hybridMultilevel"/>
    <w:tmpl w:val="72045E12"/>
    <w:lvl w:ilvl="0" w:tplc="8E1C53CE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0C50E8"/>
    <w:multiLevelType w:val="hybridMultilevel"/>
    <w:tmpl w:val="2E4C6390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62B87998"/>
    <w:multiLevelType w:val="hybridMultilevel"/>
    <w:tmpl w:val="FC48E4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85953"/>
    <w:multiLevelType w:val="hybridMultilevel"/>
    <w:tmpl w:val="3CC019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87012"/>
    <w:multiLevelType w:val="hybridMultilevel"/>
    <w:tmpl w:val="26F6152A"/>
    <w:lvl w:ilvl="0" w:tplc="49D60B4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A564E"/>
    <w:multiLevelType w:val="hybridMultilevel"/>
    <w:tmpl w:val="5F5E3884"/>
    <w:lvl w:ilvl="0" w:tplc="B302CA4C">
      <w:start w:val="1"/>
      <w:numFmt w:val="lowerLetter"/>
      <w:lvlText w:val="%1."/>
      <w:lvlJc w:val="left"/>
      <w:pPr>
        <w:ind w:left="643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827FA"/>
    <w:multiLevelType w:val="hybridMultilevel"/>
    <w:tmpl w:val="22600758"/>
    <w:lvl w:ilvl="0" w:tplc="982402F8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 w15:restartNumberingAfterBreak="0">
    <w:nsid w:val="6AF45040"/>
    <w:multiLevelType w:val="hybridMultilevel"/>
    <w:tmpl w:val="B4FEF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F304AB"/>
    <w:multiLevelType w:val="hybridMultilevel"/>
    <w:tmpl w:val="FB00FBB8"/>
    <w:lvl w:ilvl="0" w:tplc="C910ED48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755765FE"/>
    <w:multiLevelType w:val="hybridMultilevel"/>
    <w:tmpl w:val="2D6C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17A03"/>
    <w:multiLevelType w:val="hybridMultilevel"/>
    <w:tmpl w:val="3B06A7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23043"/>
    <w:multiLevelType w:val="hybridMultilevel"/>
    <w:tmpl w:val="DA2A2B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D026D6"/>
    <w:multiLevelType w:val="hybridMultilevel"/>
    <w:tmpl w:val="1982DC6C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7EA71403"/>
    <w:multiLevelType w:val="hybridMultilevel"/>
    <w:tmpl w:val="4C06EA3E"/>
    <w:lvl w:ilvl="0" w:tplc="DCF8B3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C108D"/>
    <w:multiLevelType w:val="hybridMultilevel"/>
    <w:tmpl w:val="8038792E"/>
    <w:lvl w:ilvl="0" w:tplc="4E686EB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9"/>
  </w:num>
  <w:num w:numId="2">
    <w:abstractNumId w:val="52"/>
  </w:num>
  <w:num w:numId="3">
    <w:abstractNumId w:val="53"/>
  </w:num>
  <w:num w:numId="4">
    <w:abstractNumId w:val="45"/>
  </w:num>
  <w:num w:numId="5">
    <w:abstractNumId w:val="21"/>
  </w:num>
  <w:num w:numId="6">
    <w:abstractNumId w:val="14"/>
  </w:num>
  <w:num w:numId="7">
    <w:abstractNumId w:val="33"/>
  </w:num>
  <w:num w:numId="8">
    <w:abstractNumId w:val="43"/>
  </w:num>
  <w:num w:numId="9">
    <w:abstractNumId w:val="0"/>
  </w:num>
  <w:num w:numId="10">
    <w:abstractNumId w:val="20"/>
  </w:num>
  <w:num w:numId="11">
    <w:abstractNumId w:val="54"/>
  </w:num>
  <w:num w:numId="12">
    <w:abstractNumId w:val="35"/>
  </w:num>
  <w:num w:numId="13">
    <w:abstractNumId w:val="48"/>
  </w:num>
  <w:num w:numId="14">
    <w:abstractNumId w:val="31"/>
  </w:num>
  <w:num w:numId="15">
    <w:abstractNumId w:val="56"/>
  </w:num>
  <w:num w:numId="16">
    <w:abstractNumId w:val="44"/>
  </w:num>
  <w:num w:numId="17">
    <w:abstractNumId w:val="51"/>
  </w:num>
  <w:num w:numId="18">
    <w:abstractNumId w:val="22"/>
  </w:num>
  <w:num w:numId="19">
    <w:abstractNumId w:val="39"/>
  </w:num>
  <w:num w:numId="20">
    <w:abstractNumId w:val="27"/>
  </w:num>
  <w:num w:numId="21">
    <w:abstractNumId w:val="37"/>
  </w:num>
  <w:num w:numId="22">
    <w:abstractNumId w:val="23"/>
  </w:num>
  <w:num w:numId="23">
    <w:abstractNumId w:val="25"/>
  </w:num>
  <w:num w:numId="24">
    <w:abstractNumId w:val="8"/>
  </w:num>
  <w:num w:numId="25">
    <w:abstractNumId w:val="46"/>
  </w:num>
  <w:num w:numId="26">
    <w:abstractNumId w:val="5"/>
  </w:num>
  <w:num w:numId="27">
    <w:abstractNumId w:val="41"/>
  </w:num>
  <w:num w:numId="28">
    <w:abstractNumId w:val="11"/>
  </w:num>
  <w:num w:numId="29">
    <w:abstractNumId w:val="9"/>
  </w:num>
  <w:num w:numId="30">
    <w:abstractNumId w:val="2"/>
  </w:num>
  <w:num w:numId="31">
    <w:abstractNumId w:val="32"/>
  </w:num>
  <w:num w:numId="32">
    <w:abstractNumId w:val="30"/>
  </w:num>
  <w:num w:numId="33">
    <w:abstractNumId w:val="3"/>
  </w:num>
  <w:num w:numId="34">
    <w:abstractNumId w:val="10"/>
  </w:num>
  <w:num w:numId="35">
    <w:abstractNumId w:val="28"/>
  </w:num>
  <w:num w:numId="36">
    <w:abstractNumId w:val="24"/>
  </w:num>
  <w:num w:numId="37">
    <w:abstractNumId w:val="17"/>
  </w:num>
  <w:num w:numId="38">
    <w:abstractNumId w:val="4"/>
  </w:num>
  <w:num w:numId="39">
    <w:abstractNumId w:val="36"/>
  </w:num>
  <w:num w:numId="40">
    <w:abstractNumId w:val="19"/>
  </w:num>
  <w:num w:numId="41">
    <w:abstractNumId w:val="47"/>
  </w:num>
  <w:num w:numId="42">
    <w:abstractNumId w:val="18"/>
  </w:num>
  <w:num w:numId="43">
    <w:abstractNumId w:val="40"/>
  </w:num>
  <w:num w:numId="44">
    <w:abstractNumId w:val="12"/>
  </w:num>
  <w:num w:numId="45">
    <w:abstractNumId w:val="50"/>
  </w:num>
  <w:num w:numId="46">
    <w:abstractNumId w:val="13"/>
  </w:num>
  <w:num w:numId="47">
    <w:abstractNumId w:val="6"/>
  </w:num>
  <w:num w:numId="48">
    <w:abstractNumId w:val="7"/>
  </w:num>
  <w:num w:numId="49">
    <w:abstractNumId w:val="15"/>
  </w:num>
  <w:num w:numId="50">
    <w:abstractNumId w:val="1"/>
  </w:num>
  <w:num w:numId="51">
    <w:abstractNumId w:val="55"/>
  </w:num>
  <w:num w:numId="52">
    <w:abstractNumId w:val="42"/>
  </w:num>
  <w:num w:numId="53">
    <w:abstractNumId w:val="26"/>
  </w:num>
  <w:num w:numId="54">
    <w:abstractNumId w:val="49"/>
  </w:num>
  <w:num w:numId="55">
    <w:abstractNumId w:val="38"/>
  </w:num>
  <w:num w:numId="56">
    <w:abstractNumId w:val="16"/>
  </w:num>
  <w:num w:numId="57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7"/>
    <w:rsid w:val="000B5164"/>
    <w:rsid w:val="000F3FBA"/>
    <w:rsid w:val="00232C41"/>
    <w:rsid w:val="00302FDD"/>
    <w:rsid w:val="00381A19"/>
    <w:rsid w:val="0039422A"/>
    <w:rsid w:val="003B5A1F"/>
    <w:rsid w:val="003F1915"/>
    <w:rsid w:val="004E4B5F"/>
    <w:rsid w:val="004F780E"/>
    <w:rsid w:val="005424DD"/>
    <w:rsid w:val="00546923"/>
    <w:rsid w:val="005E58F1"/>
    <w:rsid w:val="00682EEE"/>
    <w:rsid w:val="006B0483"/>
    <w:rsid w:val="006B7676"/>
    <w:rsid w:val="00813BC2"/>
    <w:rsid w:val="008A70CD"/>
    <w:rsid w:val="008E5BA2"/>
    <w:rsid w:val="00917DBC"/>
    <w:rsid w:val="00924FD4"/>
    <w:rsid w:val="00936183"/>
    <w:rsid w:val="009517DB"/>
    <w:rsid w:val="009B5DA4"/>
    <w:rsid w:val="00A010CF"/>
    <w:rsid w:val="00AB7691"/>
    <w:rsid w:val="00AE026F"/>
    <w:rsid w:val="00B509DF"/>
    <w:rsid w:val="00BD4057"/>
    <w:rsid w:val="00DA1AB0"/>
    <w:rsid w:val="00E15B07"/>
    <w:rsid w:val="00E41DE0"/>
    <w:rsid w:val="00E43E5A"/>
    <w:rsid w:val="00E775F5"/>
    <w:rsid w:val="00EA18FF"/>
    <w:rsid w:val="00EA7D2D"/>
    <w:rsid w:val="00F60F77"/>
    <w:rsid w:val="00FA70BD"/>
    <w:rsid w:val="00FC0123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72A6"/>
  <w15:chartTrackingRefBased/>
  <w15:docId w15:val="{62C8BCB6-69E0-4632-89A0-2665B81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77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F77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F77"/>
    <w:rPr>
      <w:rFonts w:ascii="Arial" w:eastAsia="Times New Roman" w:hAnsi="Arial" w:cs="Times New Roman"/>
      <w:b/>
      <w:bCs/>
      <w:w w:val="89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77"/>
    <w:rPr>
      <w:rFonts w:ascii="Calibri" w:eastAsia="Times New Roman" w:hAnsi="Calibri" w:cs="Times New Roman"/>
      <w:w w:val="89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0F77"/>
    <w:pPr>
      <w:ind w:left="708"/>
    </w:pPr>
  </w:style>
  <w:style w:type="paragraph" w:customStyle="1" w:styleId="Default">
    <w:name w:val="Default"/>
    <w:rsid w:val="00F60F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60F77"/>
    <w:pPr>
      <w:widowControl w:val="0"/>
      <w:adjustRightInd w:val="0"/>
      <w:spacing w:before="0" w:line="230" w:lineRule="exact"/>
      <w:jc w:val="left"/>
    </w:pPr>
    <w:rPr>
      <w:rFonts w:eastAsia="Calibri" w:cs="Calibri"/>
      <w:w w:val="1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60F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F7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F77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F77"/>
    <w:rPr>
      <w:rFonts w:ascii="Calibri" w:eastAsia="Times New Roman" w:hAnsi="Calibri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F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77"/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F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77"/>
    <w:rPr>
      <w:rFonts w:ascii="Calibri" w:eastAsia="Times New Roman" w:hAnsi="Calibri" w:cs="Times New Roman"/>
      <w:w w:val="89"/>
      <w:sz w:val="25"/>
      <w:szCs w:val="40"/>
      <w:lang w:eastAsia="pl-PL"/>
    </w:rPr>
  </w:style>
  <w:style w:type="table" w:styleId="Tabela-Siatka">
    <w:name w:val="Table Grid"/>
    <w:basedOn w:val="Standardowy"/>
    <w:uiPriority w:val="39"/>
    <w:rsid w:val="003B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176B-A850-4F9B-874D-FB703F0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2002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Michał</dc:creator>
  <cp:keywords/>
  <dc:description/>
  <cp:lastModifiedBy>Patryk Morawczyński</cp:lastModifiedBy>
  <cp:revision>14</cp:revision>
  <dcterms:created xsi:type="dcterms:W3CDTF">2019-11-04T10:09:00Z</dcterms:created>
  <dcterms:modified xsi:type="dcterms:W3CDTF">2019-11-04T14:21:00Z</dcterms:modified>
</cp:coreProperties>
</file>