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1F" w:rsidRDefault="00965572">
      <w:pPr>
        <w:pStyle w:val="Nagwek1"/>
        <w:keepNext w:val="0"/>
        <w:keepLines w:val="0"/>
        <w:spacing w:before="480" w:after="240"/>
        <w:rPr>
          <w:b/>
          <w:sz w:val="46"/>
          <w:szCs w:val="46"/>
        </w:rPr>
      </w:pPr>
      <w:bookmarkStart w:id="0" w:name="_5cmfleqq6nu" w:colFirst="0" w:colLast="0"/>
      <w:bookmarkEnd w:id="0"/>
      <w:r>
        <w:rPr>
          <w:b/>
          <w:sz w:val="46"/>
          <w:szCs w:val="46"/>
        </w:rPr>
        <w:t>Szczegółowy opis przedmiotu zamówienia</w:t>
      </w:r>
    </w:p>
    <w:p w:rsidR="0028301F" w:rsidRDefault="00965572">
      <w:pPr>
        <w:spacing w:after="120" w:line="360" w:lineRule="auto"/>
      </w:pPr>
      <w:r>
        <w:t xml:space="preserve">Poniższy szczegółowy opis przedmiotu zamówienia (OPZ) dotyczy </w:t>
      </w:r>
      <w:r>
        <w:rPr>
          <w:b/>
        </w:rPr>
        <w:t xml:space="preserve">organizacji jednodniowego spotkania informacyjno-konsultacyjnego dotyczącego prezentacji wyników pilotażu </w:t>
      </w:r>
      <w:r>
        <w:t xml:space="preserve">projektu Wspieranie tworzenia szkół ćwiczeń, </w:t>
      </w:r>
      <w:r>
        <w:rPr>
          <w:b/>
        </w:rPr>
        <w:t>zwanego dalej „Spotkaniem”</w:t>
      </w:r>
      <w:r>
        <w:t>,</w:t>
      </w:r>
      <w:r>
        <w:rPr>
          <w:b/>
        </w:rPr>
        <w:t xml:space="preserve"> </w:t>
      </w:r>
      <w:r>
        <w:t>finansowanego ze środków Europejskiego Funduszu Społecznego w ramach Programu Operacyjnego Wiedza, Edukacja i Rozwój (PO WER).</w:t>
      </w:r>
    </w:p>
    <w:p w:rsidR="0028301F" w:rsidRDefault="00965572">
      <w:pPr>
        <w:pStyle w:val="Nagwek2"/>
        <w:keepNext w:val="0"/>
        <w:keepLines w:val="0"/>
        <w:numPr>
          <w:ilvl w:val="0"/>
          <w:numId w:val="3"/>
        </w:numPr>
        <w:spacing w:after="80"/>
        <w:contextualSpacing/>
        <w:rPr>
          <w:b/>
          <w:sz w:val="34"/>
          <w:szCs w:val="34"/>
        </w:rPr>
      </w:pPr>
      <w:bookmarkStart w:id="1" w:name="_xi0bi3sjczi7" w:colFirst="0" w:colLast="0"/>
      <w:bookmarkEnd w:id="1"/>
      <w:r>
        <w:rPr>
          <w:b/>
          <w:sz w:val="34"/>
          <w:szCs w:val="34"/>
        </w:rPr>
        <w:t>PRZEDMIOT ZAMÓWIENIA</w:t>
      </w:r>
    </w:p>
    <w:p w:rsidR="0028301F" w:rsidRDefault="00965572">
      <w:pPr>
        <w:spacing w:before="180" w:after="120" w:line="360" w:lineRule="auto"/>
      </w:pPr>
      <w:r>
        <w:t>Przedmiotem zamówienia jest organizacja jednodniowego spotkania dla grupy 224 os</w:t>
      </w:r>
      <w:r>
        <w:t>ób, obejmująca w szczególności usługi:</w:t>
      </w:r>
    </w:p>
    <w:p w:rsidR="0028301F" w:rsidRDefault="00965572">
      <w:pPr>
        <w:spacing w:before="120" w:after="120" w:line="360" w:lineRule="auto"/>
        <w:ind w:left="1080" w:hanging="360"/>
        <w:rPr>
          <w:sz w:val="24"/>
          <w:szCs w:val="24"/>
        </w:rPr>
      </w:pPr>
      <w:r>
        <w:rPr>
          <w:sz w:val="24"/>
          <w:szCs w:val="24"/>
        </w:rPr>
        <w:t>a)      przygotowanie i obsługę Spotkania,</w:t>
      </w:r>
    </w:p>
    <w:p w:rsidR="0028301F" w:rsidRDefault="00965572">
      <w:pPr>
        <w:spacing w:before="120" w:after="120" w:line="360" w:lineRule="auto"/>
        <w:ind w:left="1080" w:hanging="360"/>
        <w:rPr>
          <w:sz w:val="24"/>
          <w:szCs w:val="24"/>
        </w:rPr>
      </w:pPr>
      <w:r>
        <w:rPr>
          <w:sz w:val="24"/>
          <w:szCs w:val="24"/>
        </w:rPr>
        <w:t>b)      restauracyjną,</w:t>
      </w:r>
    </w:p>
    <w:p w:rsidR="0028301F" w:rsidRDefault="00965572">
      <w:pPr>
        <w:spacing w:before="120" w:after="120" w:line="360" w:lineRule="auto"/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c) ewentualnie transportową. </w:t>
      </w:r>
    </w:p>
    <w:p w:rsidR="0028301F" w:rsidRDefault="00965572">
      <w:pPr>
        <w:spacing w:before="120" w:after="120"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Planowany termin realizacji zamówienia </w:t>
      </w:r>
      <w:r>
        <w:rPr>
          <w:b/>
          <w:sz w:val="24"/>
          <w:szCs w:val="24"/>
        </w:rPr>
        <w:t>15 czerwca 2018 roku.</w:t>
      </w:r>
    </w:p>
    <w:p w:rsidR="0028301F" w:rsidRDefault="00965572">
      <w:pPr>
        <w:pStyle w:val="Nagwek2"/>
        <w:keepNext w:val="0"/>
        <w:keepLines w:val="0"/>
        <w:spacing w:after="80"/>
        <w:ind w:left="720"/>
        <w:rPr>
          <w:b/>
          <w:sz w:val="34"/>
          <w:szCs w:val="34"/>
        </w:rPr>
      </w:pPr>
      <w:bookmarkStart w:id="2" w:name="_pj3f7f37l8r" w:colFirst="0" w:colLast="0"/>
      <w:bookmarkEnd w:id="2"/>
      <w:r>
        <w:rPr>
          <w:b/>
          <w:sz w:val="34"/>
          <w:szCs w:val="34"/>
        </w:rPr>
        <w:t xml:space="preserve">     II. LICZBA UCZESTNIKÓW, MIEJSCE I CZAS ORGANIZACJI SPOT</w:t>
      </w:r>
      <w:r>
        <w:rPr>
          <w:b/>
          <w:sz w:val="34"/>
          <w:szCs w:val="34"/>
        </w:rPr>
        <w:t>KANIA</w:t>
      </w:r>
    </w:p>
    <w:p w:rsidR="0028301F" w:rsidRDefault="00965572">
      <w:pPr>
        <w:spacing w:after="120" w:line="360" w:lineRule="auto"/>
      </w:pPr>
      <w:r>
        <w:t>Wykonawca będzie odpowiedzialny za organizację jednodniowego Spotkania w - planowany termin 15 czerwca 2018 r. Ramowy harmonogram Spotkania stanowi załącznik nr 1 do niniejszego OPZ.</w:t>
      </w:r>
    </w:p>
    <w:p w:rsidR="0028301F" w:rsidRDefault="00965572">
      <w:pPr>
        <w:spacing w:after="120" w:line="360" w:lineRule="auto"/>
      </w:pPr>
      <w:r>
        <w:t>Przez organizację jednodniowego spotkania Zamawiający rozumie:</w:t>
      </w:r>
    </w:p>
    <w:p w:rsidR="0028301F" w:rsidRDefault="00965572">
      <w:pPr>
        <w:spacing w:after="120" w:line="360" w:lineRule="auto"/>
        <w:ind w:left="1080" w:hanging="360"/>
      </w:pPr>
      <w:r>
        <w:t xml:space="preserve">·   </w:t>
      </w:r>
      <w:r>
        <w:t xml:space="preserve">      zapewnienie obiektu według określonego przez Zamawiającego standardu;</w:t>
      </w:r>
    </w:p>
    <w:p w:rsidR="0028301F" w:rsidRDefault="00965572">
      <w:pPr>
        <w:spacing w:after="120" w:line="360" w:lineRule="auto"/>
        <w:ind w:left="1080" w:hanging="360"/>
      </w:pPr>
      <w:r>
        <w:t>·         zapewnienie sali plenarnej z działającym wyposażeniem oraz obsługi technicznej dla 224 uczestników spotkania przez cały okres jego trwania.</w:t>
      </w:r>
    </w:p>
    <w:p w:rsidR="0028301F" w:rsidRDefault="00965572">
      <w:pPr>
        <w:spacing w:after="120" w:line="360" w:lineRule="auto"/>
      </w:pPr>
      <w:r>
        <w:t>Zamawiający wymaga, aby obiekt</w:t>
      </w:r>
      <w:r>
        <w:t xml:space="preserve">, w którym będą odbywały się zajęcia, zlokalizowany był w odległości umożliwiającej dotarcie komunikacją miejską do obiektu z Dworca Warszawa Centralna. Zamawiający wymaga aby całkowity czas podróży nie przekraczał 20 minut </w:t>
      </w:r>
      <w:r>
        <w:lastRenderedPageBreak/>
        <w:t>(możliwość przejazdu trasy na je</w:t>
      </w:r>
      <w:bookmarkStart w:id="3" w:name="_GoBack"/>
      <w:bookmarkEnd w:id="3"/>
      <w:r>
        <w:t>dnym bilecie okresowym 20 minutowym) przy czym przystanek komunikacji miejskiej, z którego będzie odjeżdżał autobus, tramwaj lub metro zlokalizowany był w bezpośredniej odległości od dworca Warszawa Centralna a podróż  odbywała się bez konieczności przesia</w:t>
      </w:r>
      <w:r>
        <w:t>dek. Podróż komunikacją miejska nie może trwać dużej niż 20 minut według rozkładu jazdy. Zamawiający wymaga aby odległość między przystankiem docelowym ZTM a hotelem nie była większa niż 500 m odległości drogowej. Zamawiający dopuszcza możliwość lokalizacj</w:t>
      </w:r>
      <w:r>
        <w:t xml:space="preserve">i hotelu w odległości większej niż wskazana przez Zamawiającego jednak w tym przypadku Wykonawca zobowiązany jest do podstawienia autokarów w liczbie odpowiadającej 100 % planowanej liczby uczestników umożliwiającej jednoczesny transport 100 % uczestników </w:t>
      </w:r>
      <w:r>
        <w:t xml:space="preserve">spotkania. Zamawiający zastrzega, że przewóz podróżnych może odbywać się wyłącznie na miejscach siedzących. </w:t>
      </w:r>
    </w:p>
    <w:p w:rsidR="0028301F" w:rsidRDefault="00965572">
      <w:pPr>
        <w:spacing w:after="120" w:line="360" w:lineRule="auto"/>
      </w:pPr>
      <w:r>
        <w:t xml:space="preserve"> </w:t>
      </w:r>
    </w:p>
    <w:p w:rsidR="0028301F" w:rsidRDefault="00965572">
      <w:pPr>
        <w:pStyle w:val="Nagwek2"/>
        <w:keepNext w:val="0"/>
        <w:keepLines w:val="0"/>
        <w:spacing w:after="80"/>
        <w:ind w:left="720"/>
        <w:rPr>
          <w:b/>
          <w:sz w:val="34"/>
          <w:szCs w:val="34"/>
        </w:rPr>
      </w:pPr>
      <w:bookmarkStart w:id="4" w:name="_ltu5h8ej7239" w:colFirst="0" w:colLast="0"/>
      <w:bookmarkEnd w:id="4"/>
      <w:r>
        <w:rPr>
          <w:b/>
          <w:sz w:val="34"/>
          <w:szCs w:val="34"/>
        </w:rPr>
        <w:t xml:space="preserve">  III. WYMOGI CO DO USŁUGI SZKOLENIOWEJ</w:t>
      </w:r>
    </w:p>
    <w:p w:rsidR="0028301F" w:rsidRDefault="00965572">
      <w:pPr>
        <w:spacing w:after="120" w:line="360" w:lineRule="auto"/>
      </w:pPr>
      <w:r>
        <w:t>Zamawiający wymaga, aby sala plenarna znajdowała się w obiekcie o standardzie co najmniej trzygwiazdkowym</w:t>
      </w:r>
      <w:r>
        <w:t xml:space="preserve"> w rozumieniu przepisów rozporządzenia Ministra Gospodarki i Pracy z dnia 19 sierpnia 2004 r. w sprawie obiektów hotelarskich i innych obiektów, w których są świadczone usługi hotelarskie, lub innym obiekcie i musi spełniać podane niżej wymagania:</w:t>
      </w:r>
    </w:p>
    <w:p w:rsidR="0028301F" w:rsidRDefault="00965572">
      <w:pPr>
        <w:pStyle w:val="Nagwek3"/>
        <w:keepNext w:val="0"/>
        <w:keepLines w:val="0"/>
        <w:spacing w:before="200" w:after="240"/>
        <w:rPr>
          <w:b/>
          <w:color w:val="000000"/>
          <w:sz w:val="26"/>
          <w:szCs w:val="26"/>
        </w:rPr>
      </w:pPr>
      <w:bookmarkStart w:id="5" w:name="_1z5xvxxt5nv1" w:colFirst="0" w:colLast="0"/>
      <w:bookmarkEnd w:id="5"/>
      <w:r>
        <w:rPr>
          <w:b/>
          <w:color w:val="000000"/>
          <w:sz w:val="26"/>
          <w:szCs w:val="26"/>
        </w:rPr>
        <w:t xml:space="preserve">3.1.    </w:t>
      </w:r>
      <w:r>
        <w:rPr>
          <w:b/>
          <w:color w:val="000000"/>
          <w:sz w:val="26"/>
          <w:szCs w:val="26"/>
        </w:rPr>
        <w:t xml:space="preserve">        Sala plenarna</w:t>
      </w:r>
    </w:p>
    <w:p w:rsidR="0028301F" w:rsidRDefault="00965572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A.      Wykonawca w szczególności zobowiązany jest zapewnić salę: </w:t>
      </w:r>
    </w:p>
    <w:p w:rsidR="0028301F" w:rsidRDefault="00965572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- odpowiednią do planowanej liczby uczestników (224)  zapewniającą komfortowe prowadzenie spotkania. W szczególności liczba krzeseł musi być dostosowana do ilości uczestników spotkania, a ich ustawienie powinno gwarantować możliwość poruszania się między n</w:t>
      </w:r>
      <w:r>
        <w:rPr>
          <w:sz w:val="24"/>
          <w:szCs w:val="24"/>
        </w:rPr>
        <w:t>imi w rzędach;</w:t>
      </w:r>
    </w:p>
    <w:p w:rsidR="0028301F" w:rsidRDefault="00965572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- posiadającą oświetlenie naturalne lub sztuczne;</w:t>
      </w:r>
    </w:p>
    <w:p w:rsidR="0028301F" w:rsidRDefault="00965572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- posiadającą sprawną klimatyzację;</w:t>
      </w:r>
    </w:p>
    <w:p w:rsidR="0028301F" w:rsidRDefault="00965572">
      <w:pPr>
        <w:spacing w:before="120" w:after="120" w:line="360" w:lineRule="auto"/>
      </w:pPr>
      <w:r>
        <w:rPr>
          <w:sz w:val="24"/>
          <w:szCs w:val="24"/>
        </w:rPr>
        <w:t xml:space="preserve">- </w:t>
      </w:r>
      <w:r>
        <w:t>spełniającą wymogi bezpieczeństwa (BHP I PPOŻ) i akustyczne;</w:t>
      </w:r>
    </w:p>
    <w:p w:rsidR="0028301F" w:rsidRDefault="00965572">
      <w:pPr>
        <w:spacing w:before="120" w:after="120" w:line="360" w:lineRule="auto"/>
        <w:rPr>
          <w:sz w:val="24"/>
          <w:szCs w:val="24"/>
        </w:rPr>
      </w:pPr>
      <w:r>
        <w:t xml:space="preserve">- </w:t>
      </w:r>
      <w:r>
        <w:rPr>
          <w:sz w:val="24"/>
          <w:szCs w:val="24"/>
        </w:rPr>
        <w:t>posiadającą zaplecze sanitarne, w tym toalety w bezpośrednim sąsiedztwie;</w:t>
      </w:r>
    </w:p>
    <w:p w:rsidR="0028301F" w:rsidRDefault="0096557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ogrzewaną (tem</w:t>
      </w:r>
      <w:r>
        <w:rPr>
          <w:sz w:val="24"/>
          <w:szCs w:val="24"/>
        </w:rPr>
        <w:t>p. w salach powinna wynosić 18–25 st. C., z możliwością regulacji).</w:t>
      </w:r>
    </w:p>
    <w:p w:rsidR="0028301F" w:rsidRDefault="0096557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Sala plenarna musi być wyposażona w aparaturę nagłaśniającą, mikrofony bezprzewodowe (co najmniej 3), laptop oraz projektor multimedialny, ekran, flipchart z papierem i markerami. Obraz z </w:t>
      </w:r>
      <w:r>
        <w:rPr>
          <w:sz w:val="24"/>
          <w:szCs w:val="24"/>
        </w:rPr>
        <w:t xml:space="preserve">projektora/rzutnika musi być widoczny dla wszystkich uczestników Spotkania. Laptop musi być wyposażony w podstawowe oprogramowanie biurowe, wraz z programem do odtwarzania prezentacji multimedialnych, podłączony do nagłośnienia umożliwiającego odtwarzanie </w:t>
      </w:r>
      <w:r>
        <w:rPr>
          <w:sz w:val="24"/>
          <w:szCs w:val="24"/>
        </w:rPr>
        <w:t>plików audio i dobry ich odbiór przez uczestników na całej sali, prezenter slajdów oraz sprawne połączenie z Internetem przez cały czas trwania Spotkania (minimalna szybkość łącza powinna pozwolić na płynne odtworzenie online filmu, jakości HD 720p minimum</w:t>
      </w:r>
      <w:r>
        <w:rPr>
          <w:sz w:val="24"/>
          <w:szCs w:val="24"/>
        </w:rPr>
        <w:t xml:space="preserve"> 256KB/s, czyli około 2Mb/s).</w:t>
      </w:r>
    </w:p>
    <w:p w:rsidR="0028301F" w:rsidRDefault="0028301F">
      <w:pPr>
        <w:spacing w:line="360" w:lineRule="auto"/>
        <w:rPr>
          <w:sz w:val="24"/>
          <w:szCs w:val="24"/>
        </w:rPr>
      </w:pPr>
    </w:p>
    <w:p w:rsidR="0028301F" w:rsidRDefault="0096557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Jeśli Zamawiający nie zdecyduje inaczej, sala plenarna wyposażona powinna być w mównicę oraz stół prezydialny odpowiednio udekorowany z miejscami do siedzenia dla co najmniej 2 prelegentów. Dodatkowo w sali plenarnej Wykonawca zapewni tabliczki z nazwiskam</w:t>
      </w:r>
      <w:r>
        <w:rPr>
          <w:sz w:val="24"/>
          <w:szCs w:val="24"/>
        </w:rPr>
        <w:t>i prelegentów, butelki z wodą gazowaną i niegazowaną (pojemność butelki 500 ml, min. dwie butelki wody na osobę).</w:t>
      </w:r>
    </w:p>
    <w:p w:rsidR="0028301F" w:rsidRDefault="0096557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Sala powinna być w dniu spotkania odpowiednio przygotowana, w szczególności Wykonawca ma zadbać o czystość sali, poprawne ustawienie krzeseł i</w:t>
      </w:r>
      <w:r>
        <w:rPr>
          <w:sz w:val="24"/>
          <w:szCs w:val="24"/>
        </w:rPr>
        <w:t xml:space="preserve"> stolików przed rozpoczęciem spotkania itp.</w:t>
      </w:r>
    </w:p>
    <w:p w:rsidR="0028301F" w:rsidRDefault="00965572">
      <w:pPr>
        <w:pStyle w:val="Nagwek3"/>
        <w:keepNext w:val="0"/>
        <w:keepLines w:val="0"/>
        <w:spacing w:before="280"/>
        <w:ind w:left="1800" w:hanging="720"/>
        <w:rPr>
          <w:b/>
          <w:color w:val="000000"/>
          <w:sz w:val="26"/>
          <w:szCs w:val="26"/>
        </w:rPr>
      </w:pPr>
      <w:bookmarkStart w:id="6" w:name="_s1d8dt8ienpm" w:colFirst="0" w:colLast="0"/>
      <w:bookmarkEnd w:id="6"/>
      <w:r>
        <w:rPr>
          <w:b/>
          <w:color w:val="000000"/>
          <w:sz w:val="26"/>
          <w:szCs w:val="26"/>
        </w:rPr>
        <w:t>3.2.            Inne wymogi dotyczące usługi szkoleniowej</w:t>
      </w:r>
    </w:p>
    <w:p w:rsidR="0028301F" w:rsidRDefault="00965572">
      <w:pPr>
        <w:ind w:left="1080"/>
      </w:pPr>
      <w:r>
        <w:t xml:space="preserve"> </w:t>
      </w:r>
    </w:p>
    <w:p w:rsidR="0028301F" w:rsidRDefault="00965572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 ramach budżetu Spotkania Wykonawca jest zobowiązany zapewnić Koordynatora Wydarzenia, tj. osobę, która będzie do stałej dyspozycji Zamawiającego oraz </w:t>
      </w:r>
      <w:r>
        <w:rPr>
          <w:sz w:val="24"/>
          <w:szCs w:val="24"/>
        </w:rPr>
        <w:t>uczestników w miejscu Spotkania przez cały czas jego trwania i w szczególności odpowiedzialną za: przygotowanie sali, współpracę z obsługą obiektu i przedstawicielami Zamawiającego, obsługę techniczną i organizacyjną.</w:t>
      </w:r>
    </w:p>
    <w:p w:rsidR="0028301F" w:rsidRDefault="00965572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Wykonawca w ramach budżetu zapewnia wy</w:t>
      </w:r>
      <w:r>
        <w:rPr>
          <w:sz w:val="24"/>
          <w:szCs w:val="24"/>
        </w:rPr>
        <w:t>druk programu Spotkania i umieści go w widocznych miejscach (np. przed salami, przy recepcji itp.). Program będzie także rozdawany każdemu uczestnikowi w czasie rejestracji. W ramach budżetu spotkania Wykonawca zobowiązany jest do zapewnienia transportu ma</w:t>
      </w:r>
      <w:r>
        <w:rPr>
          <w:sz w:val="24"/>
          <w:szCs w:val="24"/>
        </w:rPr>
        <w:t xml:space="preserve">teriałów informacyjnych z siedziby ORE przy Al. Ujazdowskich 28, 00-478 Warszawa do miejsca odbywania się spotkania. Wykonawca odbierze je, przewiezie na miejsce Spotkania oraz zapewni konfekcjonowanie </w:t>
      </w:r>
      <w:r>
        <w:rPr>
          <w:sz w:val="24"/>
          <w:szCs w:val="24"/>
        </w:rPr>
        <w:lastRenderedPageBreak/>
        <w:t>materiałów dla uczestników. Przewidywana ilość materia</w:t>
      </w:r>
      <w:r>
        <w:rPr>
          <w:sz w:val="24"/>
          <w:szCs w:val="24"/>
        </w:rPr>
        <w:t xml:space="preserve">łów informacyjnych będzie stanowić nie więcej niż 1 kg na osobę. </w:t>
      </w:r>
    </w:p>
    <w:p w:rsidR="0028301F" w:rsidRDefault="00965572">
      <w:pPr>
        <w:numPr>
          <w:ilvl w:val="0"/>
          <w:numId w:val="1"/>
        </w:numPr>
        <w:contextualSpacing/>
        <w:rPr>
          <w:sz w:val="24"/>
          <w:szCs w:val="24"/>
        </w:rPr>
      </w:pPr>
      <w:r>
        <w:t>Niewykorzystane materiały zostaną zwrócone Zamawiającemu po zakończonym Spotkaniu, jednak nie później niż przed podpisaniem protokołu odbioru. Wykonawca dostarczy niewykorzystane materiały d</w:t>
      </w:r>
      <w:r>
        <w:t>o siedziby Zamawiającego.</w:t>
      </w:r>
    </w:p>
    <w:p w:rsidR="0028301F" w:rsidRDefault="00965572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 ramach budżetu Spotkania Wykonawca zapewni identyfikatory papierowe dla każdego uczestnika, w kolorze, laminowane na zimno z dziurką na klips lub smycz (przód folia poliestrowa 175 </w:t>
      </w:r>
      <w:proofErr w:type="spellStart"/>
      <w:r>
        <w:rPr>
          <w:sz w:val="24"/>
          <w:szCs w:val="24"/>
        </w:rPr>
        <w:t>mic</w:t>
      </w:r>
      <w:proofErr w:type="spellEnd"/>
      <w:r>
        <w:rPr>
          <w:sz w:val="24"/>
          <w:szCs w:val="24"/>
        </w:rPr>
        <w:t xml:space="preserve">, tył – PCV 100 </w:t>
      </w:r>
      <w:proofErr w:type="spellStart"/>
      <w:r>
        <w:rPr>
          <w:sz w:val="24"/>
          <w:szCs w:val="24"/>
        </w:rPr>
        <w:t>mic</w:t>
      </w:r>
      <w:proofErr w:type="spellEnd"/>
      <w:r>
        <w:rPr>
          <w:sz w:val="24"/>
          <w:szCs w:val="24"/>
        </w:rPr>
        <w:t>). Minimalne wymiary lami</w:t>
      </w:r>
      <w:r>
        <w:rPr>
          <w:sz w:val="24"/>
          <w:szCs w:val="24"/>
        </w:rPr>
        <w:t>nowanego dokumentu: 105x75mm. Identyfikatory w ilości odpowiadającej liczbie uczestników plus 10%, smycz materiałowa w liczbie równej liczbie identyfikatorów. Smycz: materiał – tkanina poliestrowa. Wykończenie: metalowy karabińczyk i plastikowa złączka: wy</w:t>
      </w:r>
      <w:r>
        <w:rPr>
          <w:sz w:val="24"/>
          <w:szCs w:val="24"/>
        </w:rPr>
        <w:t>miary – długość: min. 50 cm, szerokość: min. 0,7 cm. Na identyfikatorze umieszczone będą min.: imię i nazwisko uczestnika, nazwa Wydarzenia, data Wydarzenia, logotypy zgodne z Wytycznymi dotyczącymi oznaczania projektów w ramach PO WER. Identyfikatory będą</w:t>
      </w:r>
      <w:r>
        <w:rPr>
          <w:sz w:val="24"/>
          <w:szCs w:val="24"/>
        </w:rPr>
        <w:t xml:space="preserve"> przekazywane zgodnie z instrukcją przekazaną przez Zamawiającego.</w:t>
      </w:r>
    </w:p>
    <w:p w:rsidR="0028301F" w:rsidRDefault="00965572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 ramach budżetu Spotkania Wykonawca zobowiązuje się do zorganizowania recepcji Spotkania – odpowiednio dużego stołu recepcyjnego oraz osoby (min. dwie osoby w czasie Spotkania) do obsługi.</w:t>
      </w:r>
      <w:r>
        <w:rPr>
          <w:sz w:val="24"/>
          <w:szCs w:val="24"/>
        </w:rPr>
        <w:t xml:space="preserve"> Obsługa będzie polegała na: przygotowaniu i prowadzeniu recepcji, przygotowaniu oraz prowadzeniu stolika z materiałami informacyjnymi, prowadzeniu rejestracji uczestników Spotkania obejmującej zbieranie podpisów na liście obecności, wydawaniu zaświadczeń </w:t>
      </w:r>
      <w:r>
        <w:rPr>
          <w:sz w:val="24"/>
          <w:szCs w:val="24"/>
        </w:rPr>
        <w:t>z udziału w Spotkaniu oraz zbieraniu podpisów na liście odbioru zaświadczeń, wydawaniu identyfikatorów oraz przygotowanych materiałów szkoleniowych, udzielaniu informacji organizacyjnych uczestnikom Spotkania, potwierdzaniu obecności poprzez stawianie piec</w:t>
      </w:r>
      <w:r>
        <w:rPr>
          <w:sz w:val="24"/>
          <w:szCs w:val="24"/>
        </w:rPr>
        <w:t>zątki Zamawiającego lub hotelu na druku delegacji. Minimalny wymiar pracy osób obsługujących recepcję: dwie osoby przez cały czas trwania spotkania.</w:t>
      </w:r>
    </w:p>
    <w:p w:rsidR="0028301F" w:rsidRDefault="00965572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Wykonawca zobowiązany będzie do dystrybucji </w:t>
      </w:r>
      <w:proofErr w:type="spellStart"/>
      <w:r>
        <w:rPr>
          <w:sz w:val="24"/>
          <w:szCs w:val="24"/>
        </w:rPr>
        <w:t>pendrivów</w:t>
      </w:r>
      <w:proofErr w:type="spellEnd"/>
      <w:r>
        <w:rPr>
          <w:sz w:val="24"/>
          <w:szCs w:val="24"/>
        </w:rPr>
        <w:t xml:space="preserve"> lub innych nośników danych dostarczonych przez Zamawi</w:t>
      </w:r>
      <w:r>
        <w:rPr>
          <w:sz w:val="24"/>
          <w:szCs w:val="24"/>
        </w:rPr>
        <w:t>ającego. Zamawiający wymaga aby odbiór wyżej opisanych nośników każdy uczestnik potwierdził własnoręcznym podpisem.</w:t>
      </w:r>
    </w:p>
    <w:p w:rsidR="0028301F" w:rsidRDefault="00965572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Personel Wykonawcy przez cały czas trwania Spotkania obowiązuje strój galowy. Dla mężczyzny: garnitur, elegancka koszula, krawat i obuwie. D</w:t>
      </w:r>
      <w:r>
        <w:rPr>
          <w:sz w:val="24"/>
          <w:szCs w:val="24"/>
        </w:rPr>
        <w:t>la kobiety: żakiet, spódnica/sukienka długości minimum do kolan lub długie eleganckie spodnie, elegancka koszula i obuwie. Kolory: czarny, szary lub granatowy.</w:t>
      </w:r>
    </w:p>
    <w:p w:rsidR="0028301F" w:rsidRDefault="00965572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Wykonawca zapewni nieodpłatną szatnię dla wszystkich uczestników Spotkania przez cały czas trwan</w:t>
      </w:r>
      <w:r>
        <w:rPr>
          <w:sz w:val="24"/>
          <w:szCs w:val="24"/>
        </w:rPr>
        <w:t>ia Spotkania.</w:t>
      </w:r>
    </w:p>
    <w:p w:rsidR="0028301F" w:rsidRDefault="00965572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Wykonawca zapewni uczestnikom skorzystanie nieodpłatnie z komputera wraz z bezpłatnym dostępem do </w:t>
      </w:r>
      <w:proofErr w:type="spellStart"/>
      <w:r>
        <w:rPr>
          <w:sz w:val="24"/>
          <w:szCs w:val="24"/>
        </w:rPr>
        <w:t>internetu</w:t>
      </w:r>
      <w:proofErr w:type="spellEnd"/>
      <w:r>
        <w:rPr>
          <w:sz w:val="24"/>
          <w:szCs w:val="24"/>
        </w:rPr>
        <w:t>, znajdującego się w ogólnie dostępnym miejscu obiektu, w którym będą się odbywać Spotkanie.</w:t>
      </w:r>
    </w:p>
    <w:p w:rsidR="0028301F" w:rsidRDefault="00965572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Wykonawca zapewni do 5 miejsc parkingowych</w:t>
      </w:r>
      <w:r>
        <w:rPr>
          <w:sz w:val="24"/>
          <w:szCs w:val="24"/>
        </w:rPr>
        <w:t xml:space="preserve"> dla Zamawiającego na własny koszt, a także dostęp do miejsc parkingowych w bezpośredniej bliskości obiektu dla uczestników Spotkania.</w:t>
      </w:r>
    </w:p>
    <w:p w:rsidR="0028301F" w:rsidRDefault="00965572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 ramach budżetu Spotkania Wykonawca zobowiązuje się do prawidłowego oznaczenia miejsca, w którym odbywa się Spotkanie, a</w:t>
      </w:r>
      <w:r>
        <w:rPr>
          <w:sz w:val="24"/>
          <w:szCs w:val="24"/>
        </w:rPr>
        <w:t xml:space="preserve"> w szczególności:</w:t>
      </w:r>
    </w:p>
    <w:p w:rsidR="0028301F" w:rsidRDefault="00965572">
      <w:pPr>
        <w:numPr>
          <w:ilvl w:val="0"/>
          <w:numId w:val="4"/>
        </w:numPr>
        <w:spacing w:before="60" w:after="12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oznaczenia dojścia do sali – co najmniej nazwy Zamawiającego; logotypy i opisy zgodne z wytycznymi dotyczącymi oznaczania projektów w ramach PO WER; nazwa projektu, w ramach którego jest organizowane Spotkania; nazwa Spotkania oraz oznaczenie miejsca spot</w:t>
      </w:r>
      <w:r>
        <w:rPr>
          <w:sz w:val="24"/>
          <w:szCs w:val="24"/>
        </w:rPr>
        <w:t>kania (nazwa sali, piętro);</w:t>
      </w:r>
    </w:p>
    <w:p w:rsidR="0028301F" w:rsidRDefault="00965572">
      <w:pPr>
        <w:numPr>
          <w:ilvl w:val="0"/>
          <w:numId w:val="5"/>
        </w:numPr>
        <w:spacing w:before="60" w:after="12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postawienia w bezpośredniej bliskości recepcji odebranej przez Wykonawcę ścianki typu </w:t>
      </w:r>
      <w:proofErr w:type="spellStart"/>
      <w:r>
        <w:rPr>
          <w:sz w:val="24"/>
          <w:szCs w:val="24"/>
        </w:rPr>
        <w:t>roll-up</w:t>
      </w:r>
      <w:proofErr w:type="spellEnd"/>
      <w:r>
        <w:rPr>
          <w:sz w:val="24"/>
          <w:szCs w:val="24"/>
        </w:rPr>
        <w:t>;</w:t>
      </w:r>
    </w:p>
    <w:p w:rsidR="0028301F" w:rsidRDefault="00965572">
      <w:pPr>
        <w:numPr>
          <w:ilvl w:val="0"/>
          <w:numId w:val="5"/>
        </w:numPr>
        <w:spacing w:before="60" w:after="12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oznaczenie sali, w której odbędzie się spotkanie, informacją z nazwą i datą Spotkania oraz logotypami i opisami wymaganymi zgodnie z </w:t>
      </w:r>
      <w:r>
        <w:rPr>
          <w:sz w:val="24"/>
          <w:szCs w:val="24"/>
        </w:rPr>
        <w:t>wytycznymi dotyczącymi oznaczania projektów w ramach PO WER;</w:t>
      </w:r>
    </w:p>
    <w:p w:rsidR="0028301F" w:rsidRDefault="00965572">
      <w:pPr>
        <w:numPr>
          <w:ilvl w:val="0"/>
          <w:numId w:val="5"/>
        </w:numPr>
        <w:spacing w:before="60" w:after="12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Wykonawca zapewni Zamawiającemu w trakcie Spotkania dostęp do ksero, kolorowej drukarki, faksu – przy czym wydruk do 300 stron jest zapewniony w ramach budżetu Wydarzenia.</w:t>
      </w:r>
    </w:p>
    <w:p w:rsidR="0028301F" w:rsidRDefault="00965572">
      <w:pPr>
        <w:pStyle w:val="Nagwek2"/>
        <w:keepNext w:val="0"/>
        <w:keepLines w:val="0"/>
        <w:spacing w:after="80"/>
        <w:ind w:left="720"/>
        <w:rPr>
          <w:b/>
          <w:sz w:val="34"/>
          <w:szCs w:val="34"/>
        </w:rPr>
      </w:pPr>
      <w:bookmarkStart w:id="7" w:name="_nw928gjvd8oq" w:colFirst="0" w:colLast="0"/>
      <w:bookmarkEnd w:id="7"/>
      <w:r>
        <w:rPr>
          <w:b/>
          <w:sz w:val="34"/>
          <w:szCs w:val="34"/>
        </w:rPr>
        <w:t xml:space="preserve">  IV. WYMOGI DOTYCZĄCE </w:t>
      </w:r>
      <w:r>
        <w:rPr>
          <w:b/>
          <w:sz w:val="34"/>
          <w:szCs w:val="34"/>
        </w:rPr>
        <w:t>USŁUGI RESTAURACYJNEJ</w:t>
      </w:r>
    </w:p>
    <w:p w:rsidR="0028301F" w:rsidRDefault="00965572">
      <w:pPr>
        <w:spacing w:after="120" w:line="360" w:lineRule="auto"/>
      </w:pPr>
      <w:r>
        <w:t>Zamawiający wymaga, aby wszystkie posiłki serwowane były w obiekcie, w którym odbywa się Spotkanie (tj. w miejscu prowadzenia spotkania), w wydzielonej, osobnej sali, przystosowanej do spożywania posiłków. Wyżywienie musi być zapewnio</w:t>
      </w:r>
      <w:r>
        <w:t xml:space="preserve">ne zgodnie z przepisami krajowymi w tym zakresie, w szczególności zgodnie z Ustawą z dnia 25 sierpnia 2006 r. o bezpieczeństwie żywności i żywienia. Obiad odbędzie się w formie </w:t>
      </w:r>
      <w:proofErr w:type="spellStart"/>
      <w:r>
        <w:t>zasiadanej</w:t>
      </w:r>
      <w:proofErr w:type="spellEnd"/>
      <w:r>
        <w:t>.</w:t>
      </w:r>
    </w:p>
    <w:p w:rsidR="0028301F" w:rsidRDefault="00965572">
      <w:pPr>
        <w:spacing w:before="120" w:after="120" w:line="360" w:lineRule="auto"/>
      </w:pPr>
      <w:r>
        <w:t>Nie dopuszcza się:</w:t>
      </w:r>
    </w:p>
    <w:p w:rsidR="0028301F" w:rsidRDefault="00965572">
      <w:pPr>
        <w:numPr>
          <w:ilvl w:val="0"/>
          <w:numId w:val="2"/>
        </w:numPr>
        <w:spacing w:before="120" w:after="12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organizowania posiłków i przerw kawowych w salac</w:t>
      </w:r>
      <w:r>
        <w:rPr>
          <w:sz w:val="24"/>
          <w:szCs w:val="24"/>
        </w:rPr>
        <w:t>h szkoleniowych;</w:t>
      </w:r>
    </w:p>
    <w:p w:rsidR="0028301F" w:rsidRDefault="00965572">
      <w:pPr>
        <w:numPr>
          <w:ilvl w:val="0"/>
          <w:numId w:val="2"/>
        </w:numPr>
        <w:spacing w:before="120" w:after="12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korzystania z zastawy stołowej jednokrotnego użytku (np. papierowej czy plastikowej);</w:t>
      </w:r>
    </w:p>
    <w:p w:rsidR="0028301F" w:rsidRDefault="00965572">
      <w:pPr>
        <w:numPr>
          <w:ilvl w:val="0"/>
          <w:numId w:val="2"/>
        </w:numPr>
        <w:spacing w:before="120" w:after="12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podawania produktów spożywczych w pierwotnych opakowaniach producenta (np. ciastka w pudełkach, soki w kartonach).</w:t>
      </w:r>
    </w:p>
    <w:p w:rsidR="0028301F" w:rsidRDefault="00965572">
      <w:pPr>
        <w:spacing w:before="120" w:after="120" w:line="360" w:lineRule="auto"/>
      </w:pPr>
      <w:r>
        <w:lastRenderedPageBreak/>
        <w:t>Podczas Spotkania Wykonawca zapewni uc</w:t>
      </w:r>
      <w:r>
        <w:t>zestnikom: obiad, przerwę kawową całodniową, w tym powitalną;</w:t>
      </w:r>
    </w:p>
    <w:p w:rsidR="0028301F" w:rsidRDefault="00965572">
      <w:pPr>
        <w:spacing w:before="40" w:after="120" w:line="360" w:lineRule="auto"/>
      </w:pPr>
      <w:r>
        <w:rPr>
          <w:b/>
        </w:rPr>
        <w:t xml:space="preserve">Obiad: </w:t>
      </w:r>
      <w:r>
        <w:t>w formie stołu szwedzkiego (tzw. bufet) wraz z obsługą kelnerską lub serwowanego do stolików, z przekąskami, z co najmniej dwoma rodzajami zup i dwoma rodzajami drugiego dania (w tym jedn</w:t>
      </w:r>
      <w:r>
        <w:t>o wegańskie), deserem, kawą, herbatą (wraz z dodatkami, tj. cukier, mleko/śmietanka, cytryna) wodą mineralną gazowaną i niegazowaną, minimum dwoma rodzajami soków owocowych.</w:t>
      </w:r>
    </w:p>
    <w:p w:rsidR="0028301F" w:rsidRDefault="00965572">
      <w:pPr>
        <w:spacing w:after="12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Przerwa kawowa: </w:t>
      </w:r>
      <w:r>
        <w:rPr>
          <w:sz w:val="24"/>
          <w:szCs w:val="24"/>
        </w:rPr>
        <w:t>gorąca kawa i herbata, cukier, mleko/śmietanka, cytryna, woda (gaz</w:t>
      </w:r>
      <w:r>
        <w:rPr>
          <w:sz w:val="24"/>
          <w:szCs w:val="24"/>
        </w:rPr>
        <w:t xml:space="preserve">owana i niegazowana), soki owocowe – minimum dwa rodzaje, świeże ciasto (minimum dwa rodzaje) lub owoce (minimum dwa rodzaje) oraz drobne lub słodkie przekąski typu paluszki lub kruche ciastka. Wykonawca zapewni obsługę kelnerską oraz bieżące uzupełnianie </w:t>
      </w:r>
      <w:r>
        <w:rPr>
          <w:sz w:val="24"/>
          <w:szCs w:val="24"/>
        </w:rPr>
        <w:t>serwisu kawowego.</w:t>
      </w:r>
    </w:p>
    <w:p w:rsidR="0028301F" w:rsidRDefault="00965572">
      <w:pPr>
        <w:spacing w:before="120" w:after="120" w:line="360" w:lineRule="auto"/>
        <w:rPr>
          <w:b/>
        </w:rPr>
      </w:pPr>
      <w:r>
        <w:rPr>
          <w:b/>
        </w:rPr>
        <w:t>Gramatura wyżywienia</w:t>
      </w:r>
    </w:p>
    <w:p w:rsidR="0028301F" w:rsidRDefault="00965572">
      <w:pPr>
        <w:spacing w:before="120" w:after="120" w:line="360" w:lineRule="auto"/>
      </w:pPr>
      <w:r>
        <w:t>Gramatura poszczególnych składników menu określonych w punkcie IV zawierających</w:t>
      </w:r>
    </w:p>
    <w:p w:rsidR="0028301F" w:rsidRDefault="00965572">
      <w:pPr>
        <w:spacing w:before="120" w:after="120" w:line="360" w:lineRule="auto"/>
      </w:pPr>
      <w:r>
        <w:t>n/w składnik nie może być mniejsza od gramatur określonych w tabeli.</w:t>
      </w:r>
    </w:p>
    <w:p w:rsidR="0028301F" w:rsidRDefault="00965572">
      <w:pPr>
        <w:spacing w:before="120" w:after="120" w:line="360" w:lineRule="auto"/>
      </w:pPr>
      <w:r>
        <w:t>Wykonawca zobowiązany jest zapewnić minimalną gramaturę wyżywienia d</w:t>
      </w:r>
      <w:r>
        <w:t>la każdego uczestnika:</w:t>
      </w:r>
    </w:p>
    <w:p w:rsidR="0028301F" w:rsidRDefault="00965572">
      <w:pPr>
        <w:spacing w:before="120" w:after="120" w:line="360" w:lineRule="auto"/>
      </w:pPr>
      <w:r>
        <w:t xml:space="preserve"> </w:t>
      </w:r>
    </w:p>
    <w:tbl>
      <w:tblPr>
        <w:tblStyle w:val="a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1"/>
        <w:gridCol w:w="3629"/>
        <w:gridCol w:w="2275"/>
        <w:gridCol w:w="2290"/>
      </w:tblGrid>
      <w:tr w:rsidR="0028301F">
        <w:trPr>
          <w:trHeight w:val="740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6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pPr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2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pPr>
              <w:rPr>
                <w:b/>
              </w:rPr>
            </w:pPr>
            <w:r>
              <w:rPr>
                <w:b/>
              </w:rPr>
              <w:t>Jednostka</w:t>
            </w:r>
          </w:p>
        </w:tc>
        <w:tc>
          <w:tcPr>
            <w:tcW w:w="22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pPr>
              <w:rPr>
                <w:b/>
              </w:rPr>
            </w:pPr>
            <w:r>
              <w:rPr>
                <w:b/>
              </w:rPr>
              <w:t>Minimalna gramatura na osobę</w:t>
            </w:r>
          </w:p>
        </w:tc>
      </w:tr>
      <w:tr w:rsidR="0028301F">
        <w:trPr>
          <w:trHeight w:val="480"/>
        </w:trPr>
        <w:tc>
          <w:tcPr>
            <w:tcW w:w="8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1.</w:t>
            </w:r>
          </w:p>
        </w:tc>
        <w:tc>
          <w:tcPr>
            <w:tcW w:w="36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Zupa</w:t>
            </w:r>
          </w:p>
        </w:tc>
        <w:tc>
          <w:tcPr>
            <w:tcW w:w="22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litr</w:t>
            </w:r>
          </w:p>
        </w:tc>
        <w:tc>
          <w:tcPr>
            <w:tcW w:w="22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0,25</w:t>
            </w:r>
          </w:p>
        </w:tc>
      </w:tr>
      <w:tr w:rsidR="0028301F">
        <w:trPr>
          <w:trHeight w:val="480"/>
        </w:trPr>
        <w:tc>
          <w:tcPr>
            <w:tcW w:w="8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2.</w:t>
            </w:r>
          </w:p>
        </w:tc>
        <w:tc>
          <w:tcPr>
            <w:tcW w:w="36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Porcja mięsa, ryby, dania mięsnego</w:t>
            </w:r>
          </w:p>
        </w:tc>
        <w:tc>
          <w:tcPr>
            <w:tcW w:w="22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gram</w:t>
            </w:r>
          </w:p>
        </w:tc>
        <w:tc>
          <w:tcPr>
            <w:tcW w:w="22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150</w:t>
            </w:r>
          </w:p>
        </w:tc>
      </w:tr>
      <w:tr w:rsidR="0028301F">
        <w:trPr>
          <w:trHeight w:val="480"/>
        </w:trPr>
        <w:tc>
          <w:tcPr>
            <w:tcW w:w="8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3.</w:t>
            </w:r>
          </w:p>
        </w:tc>
        <w:tc>
          <w:tcPr>
            <w:tcW w:w="36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Ziemniaki pieczone</w:t>
            </w:r>
          </w:p>
        </w:tc>
        <w:tc>
          <w:tcPr>
            <w:tcW w:w="22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gram</w:t>
            </w:r>
          </w:p>
        </w:tc>
        <w:tc>
          <w:tcPr>
            <w:tcW w:w="22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200</w:t>
            </w:r>
          </w:p>
        </w:tc>
      </w:tr>
      <w:tr w:rsidR="0028301F">
        <w:trPr>
          <w:trHeight w:val="480"/>
        </w:trPr>
        <w:tc>
          <w:tcPr>
            <w:tcW w:w="8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4.</w:t>
            </w:r>
          </w:p>
        </w:tc>
        <w:tc>
          <w:tcPr>
            <w:tcW w:w="36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Ryż, ziemniaki, kasza, kluski, makaron</w:t>
            </w:r>
          </w:p>
        </w:tc>
        <w:tc>
          <w:tcPr>
            <w:tcW w:w="22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gram</w:t>
            </w:r>
          </w:p>
        </w:tc>
        <w:tc>
          <w:tcPr>
            <w:tcW w:w="22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150</w:t>
            </w:r>
          </w:p>
        </w:tc>
      </w:tr>
      <w:tr w:rsidR="0028301F">
        <w:trPr>
          <w:trHeight w:val="480"/>
        </w:trPr>
        <w:tc>
          <w:tcPr>
            <w:tcW w:w="8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5.</w:t>
            </w:r>
          </w:p>
        </w:tc>
        <w:tc>
          <w:tcPr>
            <w:tcW w:w="36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Przystawki zimne</w:t>
            </w:r>
          </w:p>
        </w:tc>
        <w:tc>
          <w:tcPr>
            <w:tcW w:w="22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gram</w:t>
            </w:r>
          </w:p>
        </w:tc>
        <w:tc>
          <w:tcPr>
            <w:tcW w:w="22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50</w:t>
            </w:r>
          </w:p>
        </w:tc>
      </w:tr>
      <w:tr w:rsidR="0028301F">
        <w:trPr>
          <w:trHeight w:val="480"/>
        </w:trPr>
        <w:tc>
          <w:tcPr>
            <w:tcW w:w="8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6.</w:t>
            </w:r>
          </w:p>
        </w:tc>
        <w:tc>
          <w:tcPr>
            <w:tcW w:w="36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Surówki</w:t>
            </w:r>
          </w:p>
        </w:tc>
        <w:tc>
          <w:tcPr>
            <w:tcW w:w="22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gram</w:t>
            </w:r>
          </w:p>
        </w:tc>
        <w:tc>
          <w:tcPr>
            <w:tcW w:w="22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150</w:t>
            </w:r>
          </w:p>
        </w:tc>
      </w:tr>
      <w:tr w:rsidR="0028301F">
        <w:trPr>
          <w:trHeight w:val="480"/>
        </w:trPr>
        <w:tc>
          <w:tcPr>
            <w:tcW w:w="8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lastRenderedPageBreak/>
              <w:t>7.</w:t>
            </w:r>
          </w:p>
        </w:tc>
        <w:tc>
          <w:tcPr>
            <w:tcW w:w="36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Sałatki</w:t>
            </w:r>
          </w:p>
        </w:tc>
        <w:tc>
          <w:tcPr>
            <w:tcW w:w="22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gram</w:t>
            </w:r>
          </w:p>
        </w:tc>
        <w:tc>
          <w:tcPr>
            <w:tcW w:w="22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150</w:t>
            </w:r>
          </w:p>
        </w:tc>
      </w:tr>
      <w:tr w:rsidR="0028301F">
        <w:trPr>
          <w:trHeight w:val="480"/>
        </w:trPr>
        <w:tc>
          <w:tcPr>
            <w:tcW w:w="8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8.</w:t>
            </w:r>
          </w:p>
        </w:tc>
        <w:tc>
          <w:tcPr>
            <w:tcW w:w="36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Warzywa gotowane</w:t>
            </w:r>
          </w:p>
        </w:tc>
        <w:tc>
          <w:tcPr>
            <w:tcW w:w="22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gram</w:t>
            </w:r>
          </w:p>
        </w:tc>
        <w:tc>
          <w:tcPr>
            <w:tcW w:w="22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150</w:t>
            </w:r>
          </w:p>
        </w:tc>
      </w:tr>
      <w:tr w:rsidR="0028301F">
        <w:trPr>
          <w:trHeight w:val="480"/>
        </w:trPr>
        <w:tc>
          <w:tcPr>
            <w:tcW w:w="8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9.</w:t>
            </w:r>
          </w:p>
        </w:tc>
        <w:tc>
          <w:tcPr>
            <w:tcW w:w="36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Kanapki (tartinki)</w:t>
            </w:r>
          </w:p>
        </w:tc>
        <w:tc>
          <w:tcPr>
            <w:tcW w:w="22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gram</w:t>
            </w:r>
          </w:p>
        </w:tc>
        <w:tc>
          <w:tcPr>
            <w:tcW w:w="22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40</w:t>
            </w:r>
          </w:p>
        </w:tc>
      </w:tr>
      <w:tr w:rsidR="0028301F">
        <w:trPr>
          <w:trHeight w:val="480"/>
        </w:trPr>
        <w:tc>
          <w:tcPr>
            <w:tcW w:w="8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10.</w:t>
            </w:r>
          </w:p>
        </w:tc>
        <w:tc>
          <w:tcPr>
            <w:tcW w:w="36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Desery</w:t>
            </w:r>
          </w:p>
        </w:tc>
        <w:tc>
          <w:tcPr>
            <w:tcW w:w="22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gram</w:t>
            </w:r>
          </w:p>
        </w:tc>
        <w:tc>
          <w:tcPr>
            <w:tcW w:w="22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150</w:t>
            </w:r>
          </w:p>
        </w:tc>
      </w:tr>
      <w:tr w:rsidR="0028301F">
        <w:trPr>
          <w:trHeight w:val="480"/>
        </w:trPr>
        <w:tc>
          <w:tcPr>
            <w:tcW w:w="8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11.</w:t>
            </w:r>
          </w:p>
        </w:tc>
        <w:tc>
          <w:tcPr>
            <w:tcW w:w="36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Ciasta</w:t>
            </w:r>
          </w:p>
        </w:tc>
        <w:tc>
          <w:tcPr>
            <w:tcW w:w="22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gram</w:t>
            </w:r>
          </w:p>
        </w:tc>
        <w:tc>
          <w:tcPr>
            <w:tcW w:w="22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150</w:t>
            </w:r>
          </w:p>
        </w:tc>
      </w:tr>
      <w:tr w:rsidR="0028301F">
        <w:trPr>
          <w:trHeight w:val="480"/>
        </w:trPr>
        <w:tc>
          <w:tcPr>
            <w:tcW w:w="8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12.</w:t>
            </w:r>
          </w:p>
        </w:tc>
        <w:tc>
          <w:tcPr>
            <w:tcW w:w="36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Owoce</w:t>
            </w:r>
          </w:p>
        </w:tc>
        <w:tc>
          <w:tcPr>
            <w:tcW w:w="22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gram</w:t>
            </w:r>
          </w:p>
        </w:tc>
        <w:tc>
          <w:tcPr>
            <w:tcW w:w="22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200</w:t>
            </w:r>
          </w:p>
        </w:tc>
      </w:tr>
      <w:tr w:rsidR="0028301F">
        <w:trPr>
          <w:trHeight w:val="480"/>
        </w:trPr>
        <w:tc>
          <w:tcPr>
            <w:tcW w:w="8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13.</w:t>
            </w:r>
          </w:p>
        </w:tc>
        <w:tc>
          <w:tcPr>
            <w:tcW w:w="36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Sok, kompot, woda w dzbankach</w:t>
            </w:r>
          </w:p>
        </w:tc>
        <w:tc>
          <w:tcPr>
            <w:tcW w:w="22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litr</w:t>
            </w:r>
          </w:p>
        </w:tc>
        <w:tc>
          <w:tcPr>
            <w:tcW w:w="22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0,3</w:t>
            </w:r>
          </w:p>
        </w:tc>
      </w:tr>
      <w:tr w:rsidR="0028301F">
        <w:trPr>
          <w:trHeight w:val="480"/>
        </w:trPr>
        <w:tc>
          <w:tcPr>
            <w:tcW w:w="8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14.</w:t>
            </w:r>
          </w:p>
        </w:tc>
        <w:tc>
          <w:tcPr>
            <w:tcW w:w="36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Kawa, herbata</w:t>
            </w:r>
          </w:p>
        </w:tc>
        <w:tc>
          <w:tcPr>
            <w:tcW w:w="22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litr</w:t>
            </w:r>
          </w:p>
        </w:tc>
        <w:tc>
          <w:tcPr>
            <w:tcW w:w="22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0,2</w:t>
            </w:r>
          </w:p>
        </w:tc>
      </w:tr>
      <w:tr w:rsidR="0028301F">
        <w:trPr>
          <w:trHeight w:val="480"/>
        </w:trPr>
        <w:tc>
          <w:tcPr>
            <w:tcW w:w="8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15.</w:t>
            </w:r>
          </w:p>
        </w:tc>
        <w:tc>
          <w:tcPr>
            <w:tcW w:w="36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Woda mineralna</w:t>
            </w:r>
          </w:p>
        </w:tc>
        <w:tc>
          <w:tcPr>
            <w:tcW w:w="22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litr</w:t>
            </w:r>
          </w:p>
        </w:tc>
        <w:tc>
          <w:tcPr>
            <w:tcW w:w="22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0,5</w:t>
            </w:r>
          </w:p>
        </w:tc>
      </w:tr>
      <w:tr w:rsidR="0028301F">
        <w:trPr>
          <w:trHeight w:val="480"/>
        </w:trPr>
        <w:tc>
          <w:tcPr>
            <w:tcW w:w="8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16.</w:t>
            </w:r>
          </w:p>
        </w:tc>
        <w:tc>
          <w:tcPr>
            <w:tcW w:w="36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Zimne przekąski</w:t>
            </w:r>
          </w:p>
        </w:tc>
        <w:tc>
          <w:tcPr>
            <w:tcW w:w="22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gram</w:t>
            </w:r>
          </w:p>
        </w:tc>
        <w:tc>
          <w:tcPr>
            <w:tcW w:w="22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350–400</w:t>
            </w:r>
          </w:p>
        </w:tc>
      </w:tr>
      <w:tr w:rsidR="0028301F">
        <w:trPr>
          <w:trHeight w:val="480"/>
        </w:trPr>
        <w:tc>
          <w:tcPr>
            <w:tcW w:w="8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17.</w:t>
            </w:r>
          </w:p>
        </w:tc>
        <w:tc>
          <w:tcPr>
            <w:tcW w:w="36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Gorące przekąski</w:t>
            </w:r>
          </w:p>
        </w:tc>
        <w:tc>
          <w:tcPr>
            <w:tcW w:w="22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gram</w:t>
            </w:r>
          </w:p>
        </w:tc>
        <w:tc>
          <w:tcPr>
            <w:tcW w:w="22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01F" w:rsidRDefault="00965572">
            <w:r>
              <w:t>350–400</w:t>
            </w:r>
          </w:p>
        </w:tc>
      </w:tr>
    </w:tbl>
    <w:p w:rsidR="0028301F" w:rsidRDefault="0028301F">
      <w:pPr>
        <w:pStyle w:val="Nagwek2"/>
        <w:keepNext w:val="0"/>
        <w:keepLines w:val="0"/>
        <w:spacing w:before="480" w:after="240"/>
        <w:ind w:left="1440" w:hanging="720"/>
        <w:rPr>
          <w:sz w:val="24"/>
          <w:szCs w:val="24"/>
        </w:rPr>
      </w:pPr>
      <w:bookmarkStart w:id="8" w:name="_bncziue8djbz" w:colFirst="0" w:colLast="0"/>
      <w:bookmarkEnd w:id="8"/>
    </w:p>
    <w:p w:rsidR="0028301F" w:rsidRDefault="00965572">
      <w:pPr>
        <w:spacing w:before="120" w:after="120" w:line="360" w:lineRule="auto"/>
        <w:ind w:left="2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8301F" w:rsidRDefault="00965572">
      <w:pPr>
        <w:pStyle w:val="Nagwek2"/>
        <w:keepNext w:val="0"/>
        <w:keepLines w:val="0"/>
        <w:spacing w:after="80"/>
        <w:ind w:left="720"/>
        <w:rPr>
          <w:b/>
          <w:sz w:val="34"/>
          <w:szCs w:val="34"/>
        </w:rPr>
      </w:pPr>
      <w:bookmarkStart w:id="9" w:name="_9b0qe1phnhil" w:colFirst="0" w:colLast="0"/>
      <w:bookmarkEnd w:id="9"/>
      <w:r>
        <w:rPr>
          <w:b/>
          <w:sz w:val="34"/>
          <w:szCs w:val="34"/>
        </w:rPr>
        <w:t xml:space="preserve">  V. WARUNKI OGÓLNE REALIZACJI PRZEDMIOTU ZAMÓWIENIA</w:t>
      </w:r>
    </w:p>
    <w:p w:rsidR="0028301F" w:rsidRDefault="00965572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Zamawiający najpóźniej na 15 dni przed planowaną datą spotkania przekaże Wykonawcy szczegółowy harmonogram Spotkania wraz z informacjami dotyczącymi liczby osób, </w:t>
      </w:r>
      <w:proofErr w:type="spellStart"/>
      <w:r>
        <w:rPr>
          <w:sz w:val="24"/>
          <w:szCs w:val="24"/>
        </w:rPr>
        <w:t>sal</w:t>
      </w:r>
      <w:proofErr w:type="spellEnd"/>
      <w:r>
        <w:rPr>
          <w:sz w:val="24"/>
          <w:szCs w:val="24"/>
        </w:rPr>
        <w:t xml:space="preserve"> i usług dodatkowych.</w:t>
      </w:r>
    </w:p>
    <w:p w:rsidR="0028301F" w:rsidRDefault="00965572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Do 10 dni roboczych przed terminem Spotkania Zamawiającemu przysługuj</w:t>
      </w:r>
      <w:r>
        <w:rPr>
          <w:sz w:val="24"/>
          <w:szCs w:val="24"/>
        </w:rPr>
        <w:t>e prawo do rezygnacji bądź zmiany terminu Spotkania. W takim przypadku Zamawiający nie ponosi żadnych kosztów za odwołane Spotkanie.</w:t>
      </w:r>
    </w:p>
    <w:p w:rsidR="0028301F" w:rsidRDefault="00965572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 3 dni przed terminem Spotkania Zamawiającemu przysługuje prawo do zmniejszenia liczby uczestników (oraz zapotrzebowania </w:t>
      </w:r>
      <w:r>
        <w:rPr>
          <w:sz w:val="24"/>
          <w:szCs w:val="24"/>
        </w:rPr>
        <w:t>na wyżywienie) o 25% liczby wyszczególnionej w Harmonogramie. Wynagrodzenie Wykonawcy zostanie stosownie zmienione (wg stawek za poszczególne elementy wynagrodzenia).</w:t>
      </w:r>
    </w:p>
    <w:p w:rsidR="0028301F" w:rsidRDefault="00965572">
      <w:pPr>
        <w:spacing w:before="40" w:after="120" w:line="360" w:lineRule="auto"/>
        <w:rPr>
          <w:sz w:val="24"/>
          <w:szCs w:val="24"/>
        </w:rPr>
      </w:pPr>
      <w:r>
        <w:rPr>
          <w:sz w:val="24"/>
          <w:szCs w:val="24"/>
        </w:rPr>
        <w:t>Obiekt, w którym odbywać się będzie Spotkanie, powinien być przygotowany</w:t>
      </w:r>
    </w:p>
    <w:p w:rsidR="0028301F" w:rsidRDefault="00965572">
      <w:pPr>
        <w:spacing w:before="40"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nie później niż </w:t>
      </w:r>
      <w:r>
        <w:rPr>
          <w:sz w:val="24"/>
          <w:szCs w:val="24"/>
        </w:rPr>
        <w:t>na 1 godzinę przed rozpoczęciem Spotkania – w szczególności sale, recepcja, szatnia i inne miejsca istotne dla realizacji Spotkania.</w:t>
      </w:r>
    </w:p>
    <w:p w:rsidR="0028301F" w:rsidRDefault="00965572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Wszelkie materiały wytwarzane przez Wykonawcę posiadają opisy i logotypy zgodne z Wytycznymi dotyczącymi oznaczania projekt</w:t>
      </w:r>
      <w:r>
        <w:rPr>
          <w:sz w:val="24"/>
          <w:szCs w:val="24"/>
        </w:rPr>
        <w:t>ów w ramach PO WER, a ich kompozycja ma na celu oszczędność papieru.</w:t>
      </w:r>
    </w:p>
    <w:p w:rsidR="0028301F" w:rsidRDefault="00965572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Wykonawca będzie realizował wszystkie działania zgodnie z zasadą równości płci.</w:t>
      </w:r>
    </w:p>
    <w:p w:rsidR="0028301F" w:rsidRDefault="00965572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Wykonawca w momencie organizacji Spotkania będzie zobowiązany do regulowania należności z tytułu realizacji</w:t>
      </w:r>
      <w:r>
        <w:rPr>
          <w:sz w:val="24"/>
          <w:szCs w:val="24"/>
        </w:rPr>
        <w:t xml:space="preserve"> usług ze środków własnych. Wynagrodzenie Wykonawcy za wykonanie usług zostanie obliczone zgodnie z treścią umowy i kosztorysem powykonawczym.</w:t>
      </w:r>
    </w:p>
    <w:p w:rsidR="0028301F" w:rsidRDefault="00965572">
      <w:pPr>
        <w:pStyle w:val="Nagwek2"/>
        <w:keepNext w:val="0"/>
        <w:keepLines w:val="0"/>
        <w:spacing w:after="80"/>
        <w:ind w:left="720"/>
        <w:rPr>
          <w:b/>
          <w:sz w:val="34"/>
          <w:szCs w:val="34"/>
        </w:rPr>
      </w:pPr>
      <w:bookmarkStart w:id="10" w:name="_co6hua7fy7n3" w:colFirst="0" w:colLast="0"/>
      <w:bookmarkEnd w:id="10"/>
      <w:r>
        <w:rPr>
          <w:b/>
          <w:sz w:val="34"/>
          <w:szCs w:val="34"/>
        </w:rPr>
        <w:t>VI. WARUNKI FINANSOWE REALIZACJI ZADANIA</w:t>
      </w:r>
    </w:p>
    <w:p w:rsidR="0028301F" w:rsidRDefault="00965572">
      <w:pPr>
        <w:spacing w:after="120" w:line="360" w:lineRule="auto"/>
      </w:pPr>
      <w:r>
        <w:t>Zgodnie z zaleceniami Instytucji Zarządzającej Programem Operacyjnym Wie</w:t>
      </w:r>
      <w:r>
        <w:t>dza Edukacja Rozwój, Zamawiający określa następujące maksymalne limity kosztów na poszczególne wydatki związane z opisanym zadaniem:</w:t>
      </w:r>
    </w:p>
    <w:p w:rsidR="0028301F" w:rsidRDefault="00965572">
      <w:pPr>
        <w:spacing w:before="120" w:after="120" w:line="360" w:lineRule="auto"/>
        <w:ind w:left="120" w:firstLine="160"/>
        <w:rPr>
          <w:sz w:val="24"/>
          <w:szCs w:val="24"/>
        </w:rPr>
      </w:pPr>
      <w:r>
        <w:rPr>
          <w:sz w:val="24"/>
          <w:szCs w:val="24"/>
        </w:rPr>
        <w:t>a)        przerwa kawowa – 15 zł na osobę;</w:t>
      </w:r>
    </w:p>
    <w:p w:rsidR="0028301F" w:rsidRDefault="00965572">
      <w:pPr>
        <w:spacing w:before="120" w:after="120" w:line="360" w:lineRule="auto"/>
        <w:ind w:left="120" w:firstLine="160"/>
        <w:rPr>
          <w:sz w:val="24"/>
          <w:szCs w:val="24"/>
        </w:rPr>
      </w:pPr>
      <w:r>
        <w:rPr>
          <w:sz w:val="24"/>
          <w:szCs w:val="24"/>
        </w:rPr>
        <w:t>b)        obiad – 35 zł na osobę;</w:t>
      </w:r>
    </w:p>
    <w:p w:rsidR="0028301F" w:rsidRDefault="00965572">
      <w:pPr>
        <w:spacing w:before="120" w:after="120" w:line="360" w:lineRule="auto"/>
      </w:pPr>
      <w:r>
        <w:t xml:space="preserve">Jednocześnie Zamawiający informuje, że łączny </w:t>
      </w:r>
      <w:r>
        <w:t>koszt sali plenarnej nie może przekroczyć 20% ceny za organizację Spotkania. Obsługa Spotkania nie może przekroczyć 1% łącznego wynagrodzenia Wykonawcy.</w:t>
      </w:r>
    </w:p>
    <w:p w:rsidR="0028301F" w:rsidRDefault="0028301F"/>
    <w:sectPr w:rsidR="0028301F">
      <w:footerReference w:type="default" r:id="rId8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572" w:rsidRDefault="00965572" w:rsidP="000C6D2A">
      <w:pPr>
        <w:spacing w:line="240" w:lineRule="auto"/>
      </w:pPr>
      <w:r>
        <w:separator/>
      </w:r>
    </w:p>
  </w:endnote>
  <w:endnote w:type="continuationSeparator" w:id="0">
    <w:p w:rsidR="00965572" w:rsidRDefault="00965572" w:rsidP="000C6D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D2A" w:rsidRDefault="000C6D2A">
    <w:pPr>
      <w:pStyle w:val="Stopka"/>
    </w:pPr>
    <w:r>
      <w:rPr>
        <w:noProof/>
        <w:lang w:val="pl-PL"/>
      </w:rPr>
      <w:drawing>
        <wp:inline distT="0" distB="0" distL="0" distR="0">
          <wp:extent cx="5733415" cy="740751"/>
          <wp:effectExtent l="0" t="0" r="635" b="2540"/>
          <wp:docPr id="1" name="Obraz 1" descr="C:\Users\kborzym-romanow\Desktop\LOGOTYPY_POWER_z_ORE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borzym-romanow\Desktop\LOGOTYPY_POWER_z_ORE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40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572" w:rsidRDefault="00965572" w:rsidP="000C6D2A">
      <w:pPr>
        <w:spacing w:line="240" w:lineRule="auto"/>
      </w:pPr>
      <w:r>
        <w:separator/>
      </w:r>
    </w:p>
  </w:footnote>
  <w:footnote w:type="continuationSeparator" w:id="0">
    <w:p w:rsidR="00965572" w:rsidRDefault="00965572" w:rsidP="000C6D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222B"/>
    <w:multiLevelType w:val="multilevel"/>
    <w:tmpl w:val="022A6E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E0C1FFA"/>
    <w:multiLevelType w:val="multilevel"/>
    <w:tmpl w:val="D9EE11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13904DC"/>
    <w:multiLevelType w:val="multilevel"/>
    <w:tmpl w:val="1D3A97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4137F07"/>
    <w:multiLevelType w:val="multilevel"/>
    <w:tmpl w:val="1E56306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D143273"/>
    <w:multiLevelType w:val="multilevel"/>
    <w:tmpl w:val="4C84F5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301F"/>
    <w:rsid w:val="000C6D2A"/>
    <w:rsid w:val="0028301F"/>
    <w:rsid w:val="0096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C6D2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D2A"/>
  </w:style>
  <w:style w:type="paragraph" w:styleId="Stopka">
    <w:name w:val="footer"/>
    <w:basedOn w:val="Normalny"/>
    <w:link w:val="StopkaZnak"/>
    <w:uiPriority w:val="99"/>
    <w:unhideWhenUsed/>
    <w:rsid w:val="000C6D2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D2A"/>
  </w:style>
  <w:style w:type="paragraph" w:styleId="Tekstdymka">
    <w:name w:val="Balloon Text"/>
    <w:basedOn w:val="Normalny"/>
    <w:link w:val="TekstdymkaZnak"/>
    <w:uiPriority w:val="99"/>
    <w:semiHidden/>
    <w:unhideWhenUsed/>
    <w:rsid w:val="000C6D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C6D2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D2A"/>
  </w:style>
  <w:style w:type="paragraph" w:styleId="Stopka">
    <w:name w:val="footer"/>
    <w:basedOn w:val="Normalny"/>
    <w:link w:val="StopkaZnak"/>
    <w:uiPriority w:val="99"/>
    <w:unhideWhenUsed/>
    <w:rsid w:val="000C6D2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D2A"/>
  </w:style>
  <w:style w:type="paragraph" w:styleId="Tekstdymka">
    <w:name w:val="Balloon Text"/>
    <w:basedOn w:val="Normalny"/>
    <w:link w:val="TekstdymkaZnak"/>
    <w:uiPriority w:val="99"/>
    <w:semiHidden/>
    <w:unhideWhenUsed/>
    <w:rsid w:val="000C6D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1998</Words>
  <Characters>11992</Characters>
  <Application>Microsoft Office Word</Application>
  <DocSecurity>0</DocSecurity>
  <Lines>99</Lines>
  <Paragraphs>27</Paragraphs>
  <ScaleCrop>false</ScaleCrop>
  <Company/>
  <LinksUpToDate>false</LinksUpToDate>
  <CharactersWithSpaces>13963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Borzym-Romanow</cp:lastModifiedBy>
  <cp:revision>2</cp:revision>
  <dcterms:created xsi:type="dcterms:W3CDTF">2018-01-08T10:54:00Z</dcterms:created>
  <dcterms:modified xsi:type="dcterms:W3CDTF">2018-01-08T10:54:00Z</dcterms:modified>
</cp:coreProperties>
</file>